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Complicated Cataract Cases Update (1/7/2023 @ 8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January 7, 2023</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January 7, 2023</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January 7, 2023</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sz w:val="54"/>
          <w:szCs w:val="54"/>
          <w:rtl w:val="0"/>
        </w:rPr>
        <w:fldChar w:fldCharType="begin"/>
      </w:r>
      <w:r>
        <w:rPr>
          <w:sz w:val="54"/>
          <w:szCs w:val="54"/>
          <w:rtl w:val="0"/>
        </w:rPr>
        <w:instrText xml:space="preserve"> HYPERLINK "https://attendee.gotowebinar.com/register/6984656836561632012"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54"/>
          <w:szCs w:val="54"/>
          <w:rtl w:val="0"/>
        </w:rPr>
        <w:fldChar w:fldCharType="begin"/>
      </w:r>
      <w:r>
        <w:rPr>
          <w:sz w:val="54"/>
          <w:szCs w:val="54"/>
          <w:rtl w:val="0"/>
        </w:rPr>
        <w:instrText xml:space="preserve"> HYPERLINK "https://attendee.gotowebinar.com/register/6984656836561632012" </w:instrText>
      </w:r>
      <w:r>
        <w:rPr>
          <w:sz w:val="54"/>
          <w:szCs w:val="54"/>
          <w:rtl w:val="0"/>
        </w:rPr>
        <w:fldChar w:fldCharType="separate"/>
      </w:r>
      <w:r>
        <w:rPr>
          <w:color w:val="0000FF"/>
          <w:sz w:val="54"/>
          <w:szCs w:val="54"/>
          <w:u w:val="single"/>
          <w:rtl w:val="0"/>
        </w:rPr>
        <w:instrText>Register for Livestream Reminders Here!</w:instrText>
      </w:r>
      <w:r>
        <w:rPr>
          <w:sz w:val="54"/>
          <w:szCs w:val="54"/>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54"/>
          <w:szCs w:val="54"/>
          <w:u w:val="single"/>
          <w:rtl w:val="0"/>
        </w:rPr>
        <w:t>Register for Livestream Reminders Here!</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cataracts in complicated cases involving other eye disease.</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3 Assess the role of new technologies in the evaluation and treatment of eye diseases.</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cataracts in complicated cases involving other eye disease.</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eye diseases.</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cataracts in complicated cases involving other eye disease.</w:t>
      </w:r>
    </w:p>
    <w:p w:rsidP="000B10C9">
      <w:pPr>
        <w:ind w:left="450" w:right="324"/>
        <w:rPr>
          <w:bCs/>
          <w:iCs/>
          <w:sz w:val="22"/>
          <w:szCs w:val="22"/>
        </w:rPr>
      </w:pPr>
      <w:r>
        <w:rPr>
          <w:bCs/>
          <w:iCs/>
          <w:sz w:val="22"/>
          <w:szCs w:val="22"/>
        </w:rPr>
        <w:t>2 Identify basic and clinical vision research that can be transformed into improved clinical care.</w:t>
      </w:r>
    </w:p>
    <w:p w:rsidR="00AC209D" w:rsidRPr="00522A80" w:rsidP="000B10C9">
      <w:pPr>
        <w:ind w:left="450" w:right="324"/>
        <w:rPr>
          <w:bCs/>
          <w:iCs/>
          <w:sz w:val="22"/>
          <w:szCs w:val="22"/>
        </w:rPr>
      </w:pPr>
      <w:r>
        <w:rPr>
          <w:bCs/>
          <w:iCs/>
          <w:sz w:val="22"/>
          <w:szCs w:val="22"/>
        </w:rPr>
        <w:t>3 Assess the role of new technologies in the evaluation and treatment of eye diseases.</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4.00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Ethan C Heck,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Shaunna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Blecher,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Fee-Johnson &amp; Johnson - 02/09/2022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DiDomenico,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Fee-Santen Pharmaceuticals (Relationship has ended) - 12/20/2022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Epstein,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Omesh P. Gupta, MD,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Sadeer B. Hannush,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Fee-Kowa, Inc - 01/06/2023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Alessandra Intili,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Marlene R. Moster,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Bureau-Aerie Pharmaceuticals|Grant or research support-Alcon|Grant or research support-Santen Pharmaceuticals|Grant or research support-Nicox|Grant or research support-Glaukos Corporation|Grant or research support-Allergan|Speakers Bureau-Bausch + Lomb - 11/10/2022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Sagun Pendse,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F Pyfer,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etc.-Johnson &amp; Johnson (Relationship has ended)|Paid consultant-Johnson &amp; Johnson|Independent Contractor (included contracted research)-Sight Sciences|Speakers Bureau-Sight Sciences|Speakers Bureau-Rayner Surgical|Independent Contractor (included contracted research)-Tarsus (Relationship has ended) - 12/11/2022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Tipperman,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Advisor-Alcon - 12/07/2022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Sydney Tyson,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Wisner,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Advisor-Zeiss|Advisor-Haag-Streit - 03/25/2022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S Bailey,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Lehman,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funds-Merck - 06/07/2022</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