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OnDemand Complicated Cataracts Cases: A Multi-Disciplinary Approach 2024</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Monday, November 18, 2024</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Tuesday, November 18,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Monday, November 18, 2024</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Tuesday, November 18, 2025</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Tuesday, November 18, 2025</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sz w:val="24"/>
          <w:szCs w:val="24"/>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rtl w:val="0"/>
        </w:rPr>
      </w:pPr>
      <w:r>
        <w:rPr>
          <w:sz w:val="24"/>
          <w:szCs w:val="24"/>
          <w:rtl w:val="0"/>
        </w:rPr>
        <w:t>This conference will offer a deep dive into complicated cataract cases and their intersection with other ophthalmology specialties, specifically cornea, glaucoma, and retina.</w:t>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Evaluate newly available lens options</w:instrText>
      </w:r>
    </w:p>
    <w:p w:rsidR="00AC209D" w:rsidRPr="00522A80">
      <w:pPr>
        <w:bidi w:val="0"/>
        <w:spacing w:after="280" w:afterAutospacing="1"/>
        <w:rPr>
          <w:bCs/>
          <w:iCs/>
          <w:sz w:val="22"/>
          <w:szCs w:val="22"/>
        </w:rPr>
      </w:pPr>
      <w:r w:rsidRPr="00522A80" w:rsidR="00522A80">
        <w:rPr>
          <w:bCs/>
          <w:iCs/>
          <w:sz w:val="22"/>
          <w:szCs w:val="22"/>
        </w:rPr>
        <w:instrText>2 Implement the use of new technologies and devices in cataract care</w:instrText>
      </w:r>
    </w:p>
    <w:p w:rsidR="00AC209D" w:rsidRPr="00522A80">
      <w:pPr>
        <w:bidi w:val="0"/>
        <w:spacing w:after="280" w:afterAutospacing="1"/>
        <w:rPr>
          <w:bCs/>
          <w:iCs/>
          <w:sz w:val="22"/>
          <w:szCs w:val="22"/>
        </w:rPr>
      </w:pPr>
      <w:r w:rsidRPr="00522A80" w:rsidR="00522A80">
        <w:rPr>
          <w:bCs/>
          <w:iCs/>
          <w:sz w:val="22"/>
          <w:szCs w:val="22"/>
        </w:rPr>
        <w:instrText>3 Strategize care plans for complicated situations involving cataracts concurrent with glaucoma, corneal, and/or retinal issues</w:instrText>
      </w:r>
    </w:p>
    <w:p w:rsidR="00AC209D" w:rsidRPr="00522A80">
      <w:pPr>
        <w:bidi w:val="0"/>
        <w:spacing w:after="280" w:afterAutospacing="1"/>
        <w:rPr>
          <w:bCs/>
          <w:iCs/>
          <w:sz w:val="22"/>
          <w:szCs w:val="22"/>
        </w:rPr>
      </w:pPr>
      <w:r w:rsidRPr="00522A80" w:rsidR="00522A80">
        <w:rPr>
          <w:bCs/>
          <w:iCs/>
          <w:sz w:val="22"/>
          <w:szCs w:val="22"/>
        </w:rPr>
        <w:instrText>4 Educate patients on appropriate lens selection</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Evaluate newly available lens options</w:instrText>
      </w:r>
    </w:p>
    <w:p w:rsidP="00412A04">
      <w:pPr>
        <w:ind w:left="446" w:right="331"/>
        <w:rPr>
          <w:bCs/>
          <w:iCs/>
          <w:sz w:val="22"/>
          <w:szCs w:val="22"/>
        </w:rPr>
      </w:pPr>
      <w:r>
        <w:rPr>
          <w:bCs/>
          <w:iCs/>
          <w:sz w:val="22"/>
          <w:szCs w:val="22"/>
        </w:rPr>
        <w:instrText>2 Implement the use of new technologies and devices in cataract care</w:instrText>
      </w:r>
    </w:p>
    <w:p w:rsidP="00412A04">
      <w:pPr>
        <w:ind w:left="446" w:right="331"/>
        <w:rPr>
          <w:bCs/>
          <w:iCs/>
          <w:sz w:val="22"/>
          <w:szCs w:val="22"/>
        </w:rPr>
      </w:pPr>
      <w:r>
        <w:rPr>
          <w:bCs/>
          <w:iCs/>
          <w:sz w:val="22"/>
          <w:szCs w:val="22"/>
        </w:rPr>
        <w:instrText>3 Strategize care plans for complicated situations involving cataracts concurrent with glaucoma, corneal, and/or retinal issues</w:instrText>
      </w:r>
    </w:p>
    <w:p w:rsidP="00412A04">
      <w:pPr>
        <w:ind w:left="446" w:right="331"/>
        <w:rPr>
          <w:bCs/>
          <w:iCs/>
          <w:sz w:val="22"/>
          <w:szCs w:val="22"/>
        </w:rPr>
      </w:pPr>
      <w:r>
        <w:rPr>
          <w:bCs/>
          <w:iCs/>
          <w:sz w:val="22"/>
          <w:szCs w:val="22"/>
        </w:rPr>
        <w:instrText>4 Educate patients on appropriate lens selection</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Evaluate newly available lens options</w:t>
      </w:r>
    </w:p>
    <w:p w:rsidP="00412A04">
      <w:pPr>
        <w:ind w:left="446" w:right="331"/>
        <w:rPr>
          <w:bCs/>
          <w:iCs/>
          <w:sz w:val="22"/>
          <w:szCs w:val="22"/>
        </w:rPr>
      </w:pPr>
      <w:r>
        <w:rPr>
          <w:bCs/>
          <w:iCs/>
          <w:sz w:val="22"/>
          <w:szCs w:val="22"/>
        </w:rPr>
        <w:t>2 Implement the use of new technologies and devices in cataract care</w:t>
      </w:r>
    </w:p>
    <w:p w:rsidP="00412A04">
      <w:pPr>
        <w:ind w:left="446" w:right="331"/>
        <w:rPr>
          <w:bCs/>
          <w:iCs/>
          <w:sz w:val="22"/>
          <w:szCs w:val="22"/>
        </w:rPr>
      </w:pPr>
      <w:r>
        <w:rPr>
          <w:bCs/>
          <w:iCs/>
          <w:sz w:val="22"/>
          <w:szCs w:val="22"/>
        </w:rPr>
        <w:t>3 Strategize care plans for complicated situations involving cataracts concurrent with glaucoma, corneal, and/or retinal issues</w:t>
      </w:r>
    </w:p>
    <w:p w:rsidR="00AC209D" w:rsidRPr="00522A80" w:rsidP="00412A04">
      <w:pPr>
        <w:ind w:left="446" w:right="331"/>
        <w:rPr>
          <w:bCs/>
          <w:iCs/>
          <w:sz w:val="22"/>
          <w:szCs w:val="22"/>
        </w:rPr>
      </w:pPr>
      <w:r>
        <w:rPr>
          <w:bCs/>
          <w:iCs/>
          <w:sz w:val="22"/>
          <w:szCs w:val="22"/>
        </w:rPr>
        <w:t>4 Educate patients on appropriate lens selection</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w:t>
      </w:r>
      <w:bookmarkStart w:id="0" w:name="_GoBack"/>
      <w:bookmarkEnd w:id="0"/>
      <w:r w:rsidRPr="00806477">
        <w:rPr>
          <w:sz w:val="22"/>
          <w:szCs w:val="22"/>
        </w:rPr>
        <w:t xml:space="preserve">credited by the </w:t>
      </w:r>
      <w:r w:rsidR="00582689">
        <w:rPr>
          <w:sz w:val="22"/>
          <w:szCs w:val="22"/>
        </w:rPr>
        <w:t>Accreditation Council for Continuing Medical Education</w:t>
      </w:r>
      <w:r w:rsidR="00F8681C">
        <w:rPr>
          <w:sz w:val="22"/>
          <w:szCs w:val="22"/>
        </w:rPr>
        <w:t xml:space="preserve"> (ACCME)</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Enduring Material</w:t>
      </w:r>
      <w:r w:rsidRPr="00806477">
        <w:rPr>
          <w:sz w:val="22"/>
          <w:szCs w:val="22"/>
        </w:rPr>
        <w:t xml:space="preserve"> for a maximum of </w:t>
      </w:r>
      <w:r w:rsidR="00922320">
        <w:rPr>
          <w:noProof/>
          <w:sz w:val="22"/>
          <w:szCs w:val="22"/>
        </w:rPr>
        <w:t>3.00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Ayan Chatterjee,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Honoraria-Alcon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Janine G Tabas,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Wisner,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Advisor-Zeiss|Advisor-Haag-Streit - 03/06/2024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Ravi Patel,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Bureau-Allergan|Speakers Bureau-Oyster Point Pharmaceuticals|Consulting Fee-Bio-Tissue|Consulting Fee-Johnson &amp; Johnson|Grant or research support-Ocular Therapeutix (Relationship has ended)|Consulting Fee-Kala Pharmaceuticals (Relationship has ended)|Consulting Fee-Bausch + Lomb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McGowan,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 Pyfer,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etc.-Johnson &amp; Johnson|Paid consultant-Johnson &amp; Johnson|Independent Contractor (included contracted research)-Sight Sciences (Relationship has ended)|Speakers Bureau-Sight Sciences|Speakers Bureau-Rayner Surgical|Independent Contractor (included contracted research)-Tarsus (Relationship has ended) - 08/09/2024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Chronister,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Sieber,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Brett Weinstock,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Halfpenny,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Stephens,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Fee-Alcon|Speakers Bureau-Allergan|Speakers Bureau-Glaukos Corporation|Speakers Bureau-RxSight|Speakers Bureau-Lensar|Speakers Bureau-Ianterk - 11/16/2024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DiDomenico,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Fee-Santen Pharmaceuticals (Relationship has ended) - 10/17/2024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C Anhalt,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Williams,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Wong,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Anton Orlin,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etc.-Allergan (Relationship has ended)|Membership on Advisory Committees or Review Panels, Board Membership, etc.-Zeiss (Relationship has ended)|Membership on Advisory Committees or Review Panels, Board Membership, etc.-Genentech (Relationship has ended)|Membership on Advisory Committees or Review Panels, Board Membership, etc.-Apellis Pharmaceuticals (Relationship has ended)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Deaner,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Fee-EyePoint Pharmaceuticals (Relationship has ended)|Consulting Fee-Alimera Sciences (Relationship has ended)|Consulting Fee-Genentech (Relationship has ended)|Consulting Fee-Bausch + Lomb (Relationship has ended)|Consulting Fee-Regeneron (Relationship has ended)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Alessandra K Intili,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Pro,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- 01/08/2024</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D1086-7A83-4BEE-8755-A975D081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Shaunna Lee</cp:lastModifiedBy>
  <cp:revision>4</cp:revision>
  <cp:lastPrinted>2015-01-15T13:54:00Z</cp:lastPrinted>
  <dcterms:created xsi:type="dcterms:W3CDTF">2025-01-02T16:25:00Z</dcterms:created>
  <dcterms:modified xsi:type="dcterms:W3CDTF">2025-07-30T16:54:00Z</dcterms:modified>
</cp:coreProperties>
</file>