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Advances in Management of Diabetic Retinopathy featuring the P. Kenneth Nase Memorial Lecture (05/22/21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May 22,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May 22,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May 22,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Online</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Online</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Online</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Pr>
          <w:b/>
          <w:sz w:val="28"/>
          <w:szCs w:val="28"/>
        </w:rPr>
        <w:fldChar w:fldCharType="begin"/>
      </w:r>
      <w:r>
        <w:rPr>
          <w:b/>
          <w:sz w:val="28"/>
          <w:szCs w:val="28"/>
        </w:rPr>
        <w:instrText xml:space="preserve"> MERGEFIELD CourseDirector \* MERGEFORMAT </w:instrText>
      </w:r>
      <w:r>
        <w:rPr>
          <w:b/>
          <w:sz w:val="28"/>
          <w:szCs w:val="28"/>
        </w:rPr>
        <w:fldChar w:fldCharType="separate"/>
      </w:r>
      <w:r w:rsidR="00090473">
        <w:rPr>
          <w:b/>
          <w:noProof/>
          <w:sz w:val="28"/>
          <w:szCs w:val="28"/>
        </w:rPr>
        <w:instrText>«CourseDirector»</w:instrText>
      </w:r>
      <w:r>
        <w:rPr>
          <w:b/>
          <w:sz w:val="28"/>
          <w:szCs w:val="28"/>
        </w:rPr>
        <w:fldChar w:fldCharType="end"/>
      </w: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This conference will inform participants on the emerging practices across the various subspecialties that challenge conventional standards. The goal of this program is to review and discuss the current evidence that support or oppose these controversial topics.</w:instrText>
      </w:r>
    </w:p>
    <w:p>
      <w:pPr>
        <w:bidi w:val="0"/>
        <w:spacing w:after="280" w:afterAutospacing="1"/>
        <w:rPr>
          <w:rtl w:val="0"/>
        </w:rPr>
      </w:pPr>
      <w:r>
        <w:rPr>
          <w:b/>
          <w:bCs/>
          <w:rtl w:val="0"/>
        </w:rPr>
        <w:instrText>Registration</w:instrText>
      </w:r>
    </w:p>
    <w:p>
      <w:pPr>
        <w:bidi w:val="0"/>
        <w:spacing w:after="280" w:afterAutospacing="1"/>
        <w:rPr>
          <w:rtl w:val="0"/>
        </w:rPr>
      </w:pPr>
      <w:r>
        <w:rPr>
          <w:b/>
          <w:bCs/>
          <w:rtl w:val="0"/>
        </w:rPr>
        <w:instrText> </w:instrText>
      </w:r>
      <w:r>
        <w:rPr>
          <w:rFonts w:ascii="Helvetica" w:eastAsia="Helvetica" w:hAnsi="Helvetica" w:cs="Helvetica"/>
          <w:sz w:val="24"/>
          <w:szCs w:val="24"/>
          <w:rtl w:val="0"/>
        </w:rPr>
        <w:instrText>Full registration for virtual events are a two-step process:</w:instrText>
      </w:r>
    </w:p>
    <w:p>
      <w:pPr>
        <w:numPr>
          <w:ilvl w:val="0"/>
          <w:numId w:val="5"/>
        </w:numPr>
        <w:bidi w:val="0"/>
        <w:rPr>
          <w:rtl w:val="0"/>
        </w:rPr>
      </w:pPr>
      <w:r>
        <w:rPr>
          <w:rtl w:val="0"/>
        </w:rPr>
        <w:fldChar w:fldCharType="begin"/>
      </w:r>
      <w:r>
        <w:rPr>
          <w:rtl w:val="0"/>
        </w:rPr>
        <w:instrText xml:space="preserve"> HYPERLINK "https://willseye.cloud-cme.com/course/courseoverview?P=0&amp;EID=90&amp;IsExhibitor=false" </w:instrText>
      </w:r>
      <w:r>
        <w:rPr>
          <w:rtl w:val="0"/>
        </w:rPr>
        <w:fldChar w:fldCharType="separate"/>
      </w:r>
      <w:r>
        <w:rPr>
          <w:color w:val="0000FF"/>
          <w:u w:val="single"/>
          <w:rtl w:val="0"/>
        </w:rPr>
        <w:instrText>Register above</w:instrText>
      </w:r>
      <w:r>
        <w:rPr>
          <w:rtl w:val="0"/>
        </w:rPr>
        <w:fldChar w:fldCharType="end"/>
      </w:r>
      <w:r>
        <w:rPr>
          <w:rtl w:val="0"/>
        </w:rPr>
        <w:instrText xml:space="preserve"> [event] (to claim CME)</w:instrText>
      </w:r>
    </w:p>
    <w:p>
      <w:pPr>
        <w:numPr>
          <w:ilvl w:val="0"/>
          <w:numId w:val="5"/>
        </w:numPr>
        <w:bidi w:val="0"/>
        <w:spacing w:after="280" w:afterAutospacing="1"/>
        <w:rPr>
          <w:rtl w:val="0"/>
        </w:rPr>
      </w:pPr>
      <w:r>
        <w:rPr>
          <w:rtl w:val="0"/>
        </w:rPr>
        <w:fldChar w:fldCharType="begin"/>
      </w:r>
      <w:r>
        <w:rPr>
          <w:rtl w:val="0"/>
        </w:rPr>
        <w:instrText xml:space="preserve"> HYPERLINK "https://attendee.gotowebinar.com/register/26571209787546896" </w:instrText>
      </w:r>
      <w:r>
        <w:rPr>
          <w:rtl w:val="0"/>
        </w:rPr>
        <w:fldChar w:fldCharType="separate"/>
      </w:r>
      <w:r>
        <w:rPr>
          <w:color w:val="0000FF"/>
          <w:u w:val="single"/>
          <w:rtl w:val="0"/>
        </w:rPr>
        <w:instrText>Sign-up for link</w:instrText>
      </w:r>
      <w:r>
        <w:rPr>
          <w:rtl w:val="0"/>
        </w:rPr>
        <w:fldChar w:fldCharType="end"/>
      </w:r>
      <w:r>
        <w:rPr>
          <w:rtl w:val="0"/>
        </w:rPr>
        <w:instrText xml:space="preserve"> [webinar] (to watch live)</w:instrText>
      </w:r>
    </w:p>
    <w:p>
      <w:pPr>
        <w:bidi w:val="0"/>
        <w:spacing w:after="280" w:afterAutospacing="1"/>
        <w:rPr>
          <w:rtl w:val="0"/>
        </w:rPr>
      </w:pPr>
      <w:r>
        <w:rPr>
          <w:rFonts w:ascii="Helvetica" w:eastAsia="Helvetica" w:hAnsi="Helvetica" w:cs="Helvetica"/>
          <w:b/>
          <w:bCs/>
          <w:sz w:val="24"/>
          <w:szCs w:val="24"/>
          <w:rtl w:val="0"/>
        </w:rPr>
        <w:instrText>Attendance</w:instrText>
      </w:r>
    </w:p>
    <w:p>
      <w:pPr>
        <w:bidi w:val="0"/>
        <w:spacing w:after="280" w:afterAutospacing="1"/>
        <w:rPr>
          <w:rtl w:val="0"/>
        </w:rPr>
      </w:pPr>
      <w:r>
        <w:rPr>
          <w:b/>
          <w:bCs/>
          <w:rtl w:val="0"/>
        </w:rPr>
        <w:instrText> </w:instrText>
      </w:r>
      <w:r>
        <w:rPr>
          <w:rFonts w:ascii="Helvetica" w:eastAsia="Helvetica" w:hAnsi="Helvetica" w:cs="Helvetica"/>
          <w:sz w:val="24"/>
          <w:szCs w:val="24"/>
          <w:rtl w:val="0"/>
        </w:rPr>
        <w:instrText>Text attendance or use the app.</w:instrText>
      </w:r>
    </w:p>
    <w:p>
      <w:pPr>
        <w:numPr>
          <w:ilvl w:val="0"/>
          <w:numId w:val="6"/>
        </w:numPr>
        <w:bidi w:val="0"/>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"https://www.willseye.org/wp-content/uploads/2021/04/210406_Templ_QRCodeSlide_Final.pdf"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Infographic </w:instrText>
      </w:r>
      <w:r>
        <w:rPr>
          <w:rFonts w:ascii="Helvetica" w:eastAsia="Helvetica" w:hAnsi="Helvetica" w:cs="Helvetica"/>
          <w:sz w:val="24"/>
          <w:szCs w:val="24"/>
          <w:rtl w:val="0"/>
        </w:rPr>
        <w:fldChar w:fldCharType="end"/>
      </w:r>
    </w:p>
    <w:p>
      <w:pPr>
        <w:numPr>
          <w:ilvl w:val="0"/>
          <w:numId w:val="6"/>
        </w:numPr>
        <w:bidi w:val="0"/>
        <w:spacing w:after="280" w:afterAutospacing="1"/>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"https://www.willseye.org/wp-content/uploads/2021/04/CloudCME_Tutorial_sound_up.mp4"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V</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"https://www.willseye.org/wp-content/uploads/2021/04/CloudCME_Tutorial_sound_up.mp4"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ideo tutorial</w:instrText>
      </w:r>
      <w:r>
        <w:rPr>
          <w:rFonts w:ascii="Helvetica" w:eastAsia="Helvetica" w:hAnsi="Helvetica" w:cs="Helvetica"/>
          <w:sz w:val="24"/>
          <w:szCs w:val="24"/>
          <w:rtl w:val="0"/>
        </w:rPr>
        <w:fldChar w:fldCharType="end"/>
      </w:r>
    </w:p>
    <w:p>
      <w:pPr>
        <w:bidi w:val="0"/>
        <w:spacing w:after="280" w:afterAutospacing="1"/>
        <w:ind w:left="600"/>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79.21pt;width:79.21pt">
            <v:imagedata r:id="rId6" o:title=""/>
          </v:shape>
        </w:pict>
      </w:r>
      <w:r>
        <w:rPr>
          <w:rtl w:val="0"/>
        </w:rPr>
        <w:br/>
      </w:r>
      <w:r>
        <w:rPr>
          <w:rFonts w:ascii="Helvetica" w:eastAsia="Helvetica" w:hAnsi="Helvetica" w:cs="Helvetica"/>
          <w:rtl w:val="0"/>
        </w:rPr>
        <w:instrText>(</w:instrText>
      </w:r>
      <w:r>
        <w:rPr>
          <w:rtl w:val="0"/>
        </w:rPr>
        <w:fldChar w:fldCharType="begin"/>
      </w:r>
      <w:r>
        <w:rPr>
          <w:rtl w:val="0"/>
        </w:rPr>
        <w:instrText xml:space="preserve"> HYPERLINK "https://apps.apple.com/us/app/cloudcme/id624053130" </w:instrText>
      </w:r>
      <w:r>
        <w:rPr>
          <w:rtl w:val="0"/>
        </w:rPr>
        <w:fldChar w:fldCharType="separate"/>
      </w:r>
      <w:r>
        <w:rPr>
          <w:rFonts w:ascii="Helvetica" w:eastAsia="Helvetica" w:hAnsi="Helvetica" w:cs="Helvetica"/>
          <w:color w:val="0000FF"/>
          <w:u w:val="single"/>
          <w:rtl w:val="0"/>
        </w:rPr>
        <w:instrText>iPhone</w:instrText>
      </w:r>
      <w:r>
        <w:rPr>
          <w:rtl w:val="0"/>
        </w:rPr>
        <w:fldChar w:fldCharType="end"/>
      </w:r>
      <w:r>
        <w:rPr>
          <w:rFonts w:ascii="Helvetica" w:eastAsia="Helvetica" w:hAnsi="Helvetica" w:cs="Helvetica"/>
          <w:rtl w:val="0"/>
        </w:rPr>
        <w:instrText>/</w:instrText>
      </w:r>
      <w:r>
        <w:rPr>
          <w:rtl w:val="0"/>
        </w:rPr>
        <w:fldChar w:fldCharType="begin"/>
      </w:r>
      <w:r>
        <w:rPr>
          <w:rtl w:val="0"/>
        </w:rPr>
        <w:instrText xml:space="preserve"> HYPERLINK "https://play.google.com/store/apps/details?id=com.multiweb.checkin&amp;hl=en_US&amp;gl=US" </w:instrText>
      </w:r>
      <w:r>
        <w:rPr>
          <w:rtl w:val="0"/>
        </w:rPr>
        <w:fldChar w:fldCharType="separate"/>
      </w:r>
      <w:r>
        <w:rPr>
          <w:rFonts w:ascii="Helvetica" w:eastAsia="Helvetica" w:hAnsi="Helvetica" w:cs="Helvetica"/>
          <w:color w:val="0000FF"/>
          <w:u w:val="single"/>
          <w:rtl w:val="0"/>
        </w:rPr>
        <w:instrText>Android</w:instrText>
      </w:r>
      <w:r>
        <w:rPr>
          <w:rtl w:val="0"/>
        </w:rPr>
        <w:fldChar w:fldCharType="end"/>
      </w:r>
      <w:r>
        <w:rPr>
          <w:rFonts w:ascii="Helvetica" w:eastAsia="Helvetica" w:hAnsi="Helvetica" w:cs="Helvetica"/>
          <w:rtl w:val="0"/>
        </w:rPr>
        <w:instrTex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instrText>This conference will inform participants on the emerging practices across the various subspecialties that challenge conventional standards. The goal of this program is to review and discuss the current evidence that support or oppose these controversial topics.</w:instrText>
      </w:r>
    </w:p>
    <w:p>
      <w:pPr>
        <w:bidi w:val="0"/>
        <w:spacing w:after="280" w:afterAutospacing="1"/>
        <w:rPr>
          <w:rtl w:val="0"/>
        </w:rPr>
      </w:pPr>
      <w:r>
        <w:rPr>
          <w:b/>
          <w:bCs/>
          <w:rtl w:val="0"/>
        </w:rPr>
        <w:instrText>Registration</w:instrText>
      </w:r>
    </w:p>
    <w:p>
      <w:pPr>
        <w:bidi w:val="0"/>
        <w:spacing w:after="280" w:afterAutospacing="1"/>
        <w:rPr>
          <w:rtl w:val="0"/>
        </w:rPr>
      </w:pPr>
      <w:r>
        <w:rPr>
          <w:b/>
          <w:bCs/>
          <w:rtl w:val="0"/>
        </w:rPr>
        <w:instrText> </w:instrText>
      </w:r>
      <w:r>
        <w:rPr>
          <w:rFonts w:ascii="Helvetica" w:eastAsia="Helvetica" w:hAnsi="Helvetica" w:cs="Helvetica"/>
          <w:sz w:val="24"/>
          <w:szCs w:val="24"/>
          <w:rtl w:val="0"/>
        </w:rPr>
        <w:instrText>Full registration for virtual events are a two-step process:</w:instrText>
      </w:r>
    </w:p>
    <w:p>
      <w:pPr>
        <w:numPr>
          <w:ilvl w:val="0"/>
          <w:numId w:val="7"/>
        </w:numPr>
        <w:bidi w:val="0"/>
        <w:rPr>
          <w:rtl w:val="0"/>
        </w:rPr>
      </w:pPr>
      <w:r>
        <w:rPr>
          <w:rtl w:val="0"/>
        </w:rPr>
        <w:fldChar w:fldCharType="begin"/>
      </w:r>
      <w:r>
        <w:rPr>
          <w:rtl w:val="0"/>
        </w:rPr>
        <w:instrText xml:space="preserve"> HYPERLINK "https://willseye.cloud-cme.com/course/courseoverview?P=0&amp;EID=90&amp;IsExhibitor=false" </w:instrText>
      </w:r>
      <w:r>
        <w:rPr>
          <w:rtl w:val="0"/>
        </w:rPr>
        <w:fldChar w:fldCharType="separate"/>
      </w:r>
      <w:r>
        <w:rPr>
          <w:color w:val="0000FF"/>
          <w:u w:val="single"/>
          <w:rtl w:val="0"/>
        </w:rPr>
        <w:instrText>Register above</w:instrText>
      </w:r>
      <w:r>
        <w:rPr>
          <w:rtl w:val="0"/>
        </w:rPr>
        <w:fldChar w:fldCharType="end"/>
      </w:r>
      <w:r>
        <w:rPr>
          <w:rtl w:val="0"/>
        </w:rPr>
        <w:instrText xml:space="preserve"> [event] (to claim CME)</w:instrText>
      </w:r>
    </w:p>
    <w:p>
      <w:pPr>
        <w:numPr>
          <w:ilvl w:val="0"/>
          <w:numId w:val="7"/>
        </w:numPr>
        <w:bidi w:val="0"/>
        <w:spacing w:after="280" w:afterAutospacing="1"/>
        <w:rPr>
          <w:rtl w:val="0"/>
        </w:rPr>
      </w:pPr>
      <w:r>
        <w:rPr>
          <w:rtl w:val="0"/>
        </w:rPr>
        <w:fldChar w:fldCharType="begin"/>
      </w:r>
      <w:r>
        <w:rPr>
          <w:rtl w:val="0"/>
        </w:rPr>
        <w:instrText xml:space="preserve"> HYPERLINK "https://attendee.gotowebinar.com/register/26571209787546896" </w:instrText>
      </w:r>
      <w:r>
        <w:rPr>
          <w:rtl w:val="0"/>
        </w:rPr>
        <w:fldChar w:fldCharType="separate"/>
      </w:r>
      <w:r>
        <w:rPr>
          <w:color w:val="0000FF"/>
          <w:u w:val="single"/>
          <w:rtl w:val="0"/>
        </w:rPr>
        <w:instrText>Sign-up for link</w:instrText>
      </w:r>
      <w:r>
        <w:rPr>
          <w:rtl w:val="0"/>
        </w:rPr>
        <w:fldChar w:fldCharType="end"/>
      </w:r>
      <w:r>
        <w:rPr>
          <w:rtl w:val="0"/>
        </w:rPr>
        <w:instrText xml:space="preserve"> [webinar] (to watch live)</w:instrText>
      </w:r>
    </w:p>
    <w:p>
      <w:pPr>
        <w:bidi w:val="0"/>
        <w:spacing w:after="280" w:afterAutospacing="1"/>
        <w:rPr>
          <w:rtl w:val="0"/>
        </w:rPr>
      </w:pPr>
      <w:r>
        <w:rPr>
          <w:rFonts w:ascii="Helvetica" w:eastAsia="Helvetica" w:hAnsi="Helvetica" w:cs="Helvetica"/>
          <w:b/>
          <w:bCs/>
          <w:sz w:val="24"/>
          <w:szCs w:val="24"/>
          <w:rtl w:val="0"/>
        </w:rPr>
        <w:instrText>Attendance</w:instrText>
      </w:r>
    </w:p>
    <w:p>
      <w:pPr>
        <w:bidi w:val="0"/>
        <w:spacing w:after="280" w:afterAutospacing="1"/>
        <w:rPr>
          <w:rtl w:val="0"/>
        </w:rPr>
      </w:pPr>
      <w:r>
        <w:rPr>
          <w:b/>
          <w:bCs/>
          <w:rtl w:val="0"/>
        </w:rPr>
        <w:instrText> </w:instrText>
      </w:r>
      <w:r>
        <w:rPr>
          <w:rFonts w:ascii="Helvetica" w:eastAsia="Helvetica" w:hAnsi="Helvetica" w:cs="Helvetica"/>
          <w:sz w:val="24"/>
          <w:szCs w:val="24"/>
          <w:rtl w:val="0"/>
        </w:rPr>
        <w:instrText>Text attendance or use the app.</w:instrText>
      </w:r>
    </w:p>
    <w:p>
      <w:pPr>
        <w:numPr>
          <w:ilvl w:val="0"/>
          <w:numId w:val="8"/>
        </w:numPr>
        <w:bidi w:val="0"/>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"https://www.willseye.org/wp-content/uploads/2021/04/210406_Templ_QRCodeSlide_Final.pdf"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Infographic </w:instrText>
      </w:r>
      <w:r>
        <w:rPr>
          <w:rFonts w:ascii="Helvetica" w:eastAsia="Helvetica" w:hAnsi="Helvetica" w:cs="Helvetica"/>
          <w:sz w:val="24"/>
          <w:szCs w:val="24"/>
          <w:rtl w:val="0"/>
        </w:rPr>
        <w:fldChar w:fldCharType="end"/>
      </w:r>
    </w:p>
    <w:p>
      <w:pPr>
        <w:numPr>
          <w:ilvl w:val="0"/>
          <w:numId w:val="8"/>
        </w:numPr>
        <w:bidi w:val="0"/>
        <w:spacing w:after="280" w:afterAutospacing="1"/>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"https://www.willseye.org/wp-content/uploads/2021/04/CloudCME_Tutorial_sound_up.mp4"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V</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"https://www.willseye.org/wp-content/uploads/2021/04/CloudCME_Tutorial_sound_up.mp4"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ideo tutorial</w:instrText>
      </w:r>
      <w:r>
        <w:rPr>
          <w:rFonts w:ascii="Helvetica" w:eastAsia="Helvetica" w:hAnsi="Helvetica" w:cs="Helvetica"/>
          <w:sz w:val="24"/>
          <w:szCs w:val="24"/>
          <w:rtl w:val="0"/>
        </w:rPr>
        <w:fldChar w:fldCharType="end"/>
      </w:r>
    </w:p>
    <w:p>
      <w:pPr>
        <w:bidi w:val="0"/>
        <w:spacing w:after="280" w:afterAutospacing="1"/>
        <w:ind w:left="600"/>
        <w:rPr>
          <w:rtl w:val="0"/>
        </w:rPr>
      </w:pPr>
      <w:r>
        <w:rPr>
          <w:rtl w:val="0"/>
        </w:rPr>
        <w:pict>
          <v:shape id="_x0000_i1026" type="#_x0000_t75" style="height:79.21pt;width:79.21pt">
            <v:imagedata r:id="rId6" o:title=""/>
          </v:shape>
        </w:pict>
      </w:r>
      <w:r>
        <w:rPr>
          <w:rtl w:val="0"/>
        </w:rPr>
        <w:br/>
      </w:r>
      <w:r>
        <w:rPr>
          <w:rFonts w:ascii="Helvetica" w:eastAsia="Helvetica" w:hAnsi="Helvetica" w:cs="Helvetica"/>
          <w:rtl w:val="0"/>
        </w:rPr>
        <w:instrText>(</w:instrText>
      </w:r>
      <w:r>
        <w:rPr>
          <w:rtl w:val="0"/>
        </w:rPr>
        <w:fldChar w:fldCharType="begin"/>
      </w:r>
      <w:r>
        <w:rPr>
          <w:rtl w:val="0"/>
        </w:rPr>
        <w:instrText xml:space="preserve"> HYPERLINK "https://apps.apple.com/us/app/cloudcme/id624053130" </w:instrText>
      </w:r>
      <w:r>
        <w:rPr>
          <w:rtl w:val="0"/>
        </w:rPr>
        <w:fldChar w:fldCharType="separate"/>
      </w:r>
      <w:r>
        <w:rPr>
          <w:rFonts w:ascii="Helvetica" w:eastAsia="Helvetica" w:hAnsi="Helvetica" w:cs="Helvetica"/>
          <w:color w:val="0000FF"/>
          <w:u w:val="single"/>
          <w:rtl w:val="0"/>
        </w:rPr>
        <w:instrText>iPhone</w:instrText>
      </w:r>
      <w:r>
        <w:rPr>
          <w:rtl w:val="0"/>
        </w:rPr>
        <w:fldChar w:fldCharType="end"/>
      </w:r>
      <w:r>
        <w:rPr>
          <w:rFonts w:ascii="Helvetica" w:eastAsia="Helvetica" w:hAnsi="Helvetica" w:cs="Helvetica"/>
          <w:rtl w:val="0"/>
        </w:rPr>
        <w:instrText>/</w:instrText>
      </w:r>
      <w:r>
        <w:rPr>
          <w:rtl w:val="0"/>
        </w:rPr>
        <w:fldChar w:fldCharType="begin"/>
      </w:r>
      <w:r>
        <w:rPr>
          <w:rtl w:val="0"/>
        </w:rPr>
        <w:instrText xml:space="preserve"> HYPERLINK "https://play.google.com/store/apps/details?id=com.multiweb.checkin&amp;hl=en_US&amp;gl=US" </w:instrText>
      </w:r>
      <w:r>
        <w:rPr>
          <w:rtl w:val="0"/>
        </w:rPr>
        <w:fldChar w:fldCharType="separate"/>
      </w:r>
      <w:r>
        <w:rPr>
          <w:rFonts w:ascii="Helvetica" w:eastAsia="Helvetica" w:hAnsi="Helvetica" w:cs="Helvetica"/>
          <w:color w:val="0000FF"/>
          <w:u w:val="single"/>
          <w:rtl w:val="0"/>
        </w:rPr>
        <w:instrText>Android</w:instrText>
      </w:r>
      <w:r>
        <w:rPr>
          <w:rtl w:val="0"/>
        </w:rPr>
        <w:fldChar w:fldCharType="end"/>
      </w:r>
      <w:r>
        <w:rPr>
          <w:rFonts w:ascii="Helvetica" w:eastAsia="Helvetica" w:hAnsi="Helvetica" w:cs="Helvetica"/>
          <w:rtl w:val="0"/>
        </w:rPr>
        <w:instrTex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tl w:val="0"/>
        </w:rPr>
        <w:t>This conference will inform participants on the emerging practices across the various subspecialties that challenge conventional standards. The goal of this program is to review and discuss the current evidence that support or oppose these controversial topics.</w:t>
      </w:r>
    </w:p>
    <w:p>
      <w:pPr>
        <w:bidi w:val="0"/>
        <w:spacing w:after="280" w:afterAutospacing="1"/>
        <w:rPr>
          <w:rtl w:val="0"/>
        </w:rPr>
      </w:pPr>
      <w:r>
        <w:rPr>
          <w:b/>
          <w:bCs/>
          <w:rtl w:val="0"/>
        </w:rPr>
        <w:t>Registration</w:t>
      </w:r>
    </w:p>
    <w:p>
      <w:pPr>
        <w:bidi w:val="0"/>
        <w:spacing w:after="280" w:afterAutospacing="1"/>
        <w:rPr>
          <w:rtl w:val="0"/>
        </w:rPr>
      </w:pPr>
      <w:r>
        <w:rPr>
          <w:b/>
          <w:bCs/>
          <w:rtl w:val="0"/>
        </w:rPr>
        <w:t> </w:t>
      </w:r>
      <w:r>
        <w:rPr>
          <w:rFonts w:ascii="Helvetica" w:eastAsia="Helvetica" w:hAnsi="Helvetica" w:cs="Helvetica"/>
          <w:sz w:val="24"/>
          <w:szCs w:val="24"/>
          <w:rtl w:val="0"/>
        </w:rPr>
        <w:t>Full registration for virtual events are a two-step process:</w:t>
      </w:r>
    </w:p>
    <w:p>
      <w:pPr>
        <w:numPr>
          <w:ilvl w:val="0"/>
          <w:numId w:val="7"/>
        </w:numPr>
        <w:bidi w:val="0"/>
        <w:rPr>
          <w:rtl w:val="0"/>
        </w:rPr>
      </w:pPr>
      <w:r>
        <w:rPr>
          <w:color w:val="0000FF"/>
          <w:u w:val="single"/>
          <w:rtl w:val="0"/>
        </w:rPr>
        <w:t>Register above</w:t>
      </w:r>
      <w:r>
        <w:rPr>
          <w:rtl w:val="0"/>
        </w:rPr>
        <w:t xml:space="preserve"> [event] (to claim CME)</w:t>
      </w:r>
    </w:p>
    <w:p>
      <w:pPr>
        <w:numPr>
          <w:ilvl w:val="0"/>
          <w:numId w:val="7"/>
        </w:numPr>
        <w:bidi w:val="0"/>
        <w:spacing w:after="280" w:afterAutospacing="1"/>
        <w:rPr>
          <w:rtl w:val="0"/>
        </w:rPr>
      </w:pPr>
      <w:r>
        <w:rPr>
          <w:color w:val="0000FF"/>
          <w:u w:val="single"/>
          <w:rtl w:val="0"/>
        </w:rPr>
        <w:t>Sign-up for link</w:t>
      </w:r>
      <w:r>
        <w:rPr>
          <w:rtl w:val="0"/>
        </w:rPr>
        <w:t xml:space="preserve"> [webinar] (to watch live)</w:t>
      </w:r>
    </w:p>
    <w:p>
      <w:pPr>
        <w:bidi w:val="0"/>
        <w:spacing w:after="280" w:afterAutospacing="1"/>
        <w:rPr>
          <w:rtl w:val="0"/>
        </w:rPr>
      </w:pPr>
      <w:r>
        <w:rPr>
          <w:rFonts w:ascii="Helvetica" w:eastAsia="Helvetica" w:hAnsi="Helvetica" w:cs="Helvetica"/>
          <w:b/>
          <w:bCs/>
          <w:sz w:val="24"/>
          <w:szCs w:val="24"/>
          <w:rtl w:val="0"/>
        </w:rPr>
        <w:t>Attendance</w:t>
      </w:r>
    </w:p>
    <w:p>
      <w:pPr>
        <w:bidi w:val="0"/>
        <w:spacing w:after="280" w:afterAutospacing="1"/>
        <w:rPr>
          <w:rtl w:val="0"/>
        </w:rPr>
      </w:pPr>
      <w:r>
        <w:rPr>
          <w:b/>
          <w:bCs/>
          <w:rtl w:val="0"/>
        </w:rPr>
        <w:t> </w:t>
      </w:r>
      <w:r>
        <w:rPr>
          <w:rFonts w:ascii="Helvetica" w:eastAsia="Helvetica" w:hAnsi="Helvetica" w:cs="Helvetica"/>
          <w:sz w:val="24"/>
          <w:szCs w:val="24"/>
          <w:rtl w:val="0"/>
        </w:rPr>
        <w:t>Text attendance or use the app.</w:t>
      </w:r>
    </w:p>
    <w:p>
      <w:pPr>
        <w:numPr>
          <w:ilvl w:val="0"/>
          <w:numId w:val="8"/>
        </w:numPr>
        <w:bidi w:val="0"/>
        <w:rPr>
          <w:rtl w:val="0"/>
        </w:rPr>
      </w:pPr>
      <w:r>
        <w:rPr>
          <w:rFonts w:ascii="Helvetica" w:eastAsia="Helvetica" w:hAnsi="Helvetica" w:cs="Helvetica"/>
          <w:color w:val="0000FF"/>
          <w:sz w:val="24"/>
          <w:szCs w:val="24"/>
          <w:u w:val="single"/>
          <w:rtl w:val="0"/>
        </w:rPr>
        <w:t>Infographic </w:t>
      </w:r>
    </w:p>
    <w:p>
      <w:pPr>
        <w:numPr>
          <w:ilvl w:val="0"/>
          <w:numId w:val="8"/>
        </w:numPr>
        <w:bidi w:val="0"/>
        <w:spacing w:after="280" w:afterAutospacing="1"/>
        <w:rPr>
          <w:rtl w:val="0"/>
        </w:rPr>
      </w:pPr>
      <w:r>
        <w:rPr>
          <w:rFonts w:ascii="Helvetica" w:eastAsia="Helvetica" w:hAnsi="Helvetica" w:cs="Helvetica"/>
          <w:color w:val="0000FF"/>
          <w:sz w:val="24"/>
          <w:szCs w:val="24"/>
          <w:u w:val="single"/>
          <w:rtl w:val="0"/>
        </w:rPr>
        <w:t>V</w:t>
      </w:r>
      <w:r>
        <w:rPr>
          <w:rFonts w:ascii="Helvetica" w:eastAsia="Helvetica" w:hAnsi="Helvetica" w:cs="Helvetica"/>
          <w:color w:val="0000FF"/>
          <w:sz w:val="24"/>
          <w:szCs w:val="24"/>
          <w:u w:val="single"/>
          <w:rtl w:val="0"/>
        </w:rPr>
        <w:t>ideo tutorial</w:t>
      </w:r>
    </w:p>
    <w:p>
      <w:pPr>
        <w:bidi w:val="0"/>
        <w:spacing w:after="280" w:afterAutospacing="1"/>
        <w:ind w:left="600"/>
        <w:rPr>
          <w:rtl w:val="0"/>
        </w:rPr>
      </w:pPr>
      <w:r>
        <w:rPr>
          <w:rtl w:val="0"/>
        </w:rPr>
        <w:pict>
          <v:shape id="_x0000_i1027" type="#_x0000_t75" style="height:79.21pt;width:79.21pt">
            <v:imagedata r:id="rId6" o:title=""/>
          </v:shape>
        </w:pict>
      </w:r>
      <w:r>
        <w:rPr>
          <w:rtl w:val="0"/>
        </w:rPr>
        <w:br/>
      </w:r>
      <w:r>
        <w:rPr>
          <w:rFonts w:ascii="Helvetica" w:eastAsia="Helvetica" w:hAnsi="Helvetica" w:cs="Helvetica"/>
          <w:rtl w:val="0"/>
        </w:rPr>
        <w:t>(</w:t>
      </w:r>
      <w:r>
        <w:rPr>
          <w:rFonts w:ascii="Helvetica" w:eastAsia="Helvetica" w:hAnsi="Helvetica" w:cs="Helvetica"/>
          <w:color w:val="0000FF"/>
          <w:u w:val="single"/>
          <w:rtl w:val="0"/>
        </w:rPr>
        <w:t>iPhone</w:t>
      </w:r>
      <w:r>
        <w:rPr>
          <w:rFonts w:ascii="Helvetica" w:eastAsia="Helvetica" w:hAnsi="Helvetica" w:cs="Helvetica"/>
          <w:rtl w:val="0"/>
        </w:rPr>
        <w:t>/</w:t>
      </w:r>
      <w:r>
        <w:rPr>
          <w:rFonts w:ascii="Helvetica" w:eastAsia="Helvetica" w:hAnsi="Helvetica" w:cs="Helvetica"/>
          <w:color w:val="0000FF"/>
          <w:u w:val="single"/>
          <w:rtl w:val="0"/>
        </w:rPr>
        <w:t>Android</w:t>
      </w:r>
      <w:r>
        <w:rPr>
          <w:rFonts w:ascii="Helvetica" w:eastAsia="Helvetica" w:hAnsi="Helvetica" w:cs="Helvetica"/>
          <w:rtl w:val="0"/>
        </w:rPr>
        <w: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4.00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Chiang,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Support-Apellis Pharmaceuticals|Grant / Research Support-Genentech|Consultant / Independent Contractor-Apellis Pharmaceuticals|Grant / Research Support-Regeneron|Consultant / Independent Contractor-Orbit Biomedical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Contractor-Keeler, Inc. - 05/04/2021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Contractor-Deciphera|Consultant / Independent Contractor-Bausch &amp; Lomb|Consultant / Independent Contractor-Johnson and Johnson|Consultant / Independent Contractor-Allergan|Grant / Research Support-Regeneron|Grant / Research Support-Apellis|Grant / Research Support-Boehringer Ingelheim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Gupta,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Member-IVERIC Bio|Grant / Research Support-IVERIC Bio|Consultant / Independent Contractor-Gyroscope Therapeutics|Consultant / Independent Contractor-OccuRx|Grant / Research Support-Genentech|Grant / Research Support-Aldeyra Therapeutics - 03/20/2021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 Ali Khan,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Contractor-Apellis Pharmaceuticals|Consultant / Independent Contractor-Genentech|Grant / Research Support-Regeneron - 04/15/2021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Judy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Contractor-Adverum|Consultant / Independent Contractor-Allergan|Consultant / Independent Contractor-Genentech|Consultant / Independent Contractor-Notal Vision|Consultant / Independent Contractor-Novartis|Consultant / Independent Contractor-Regeneron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Sonia Mehta,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Member-Lagen Laboratories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Support-Allergan|Grant / Research Support-Apellis Pharmaceuticals|Consultant / Independent Contractor-Allergan|Grant / Research Support-Astellas Pharma|Grant / Research Support-Chengdu Kanghong Pharmaceutical|Consultant / Independent Contractor-Chengdu Kanghong Pharmaceutical|Grant / Research Support-EyePoint Pharmaceuticals|Consultant / Independent Contractor-EyePoint Pharmaceuticals|Grant / Research Support-Genentech|Consultant / Independent Contractor-Genentech|Grant / Research Support-Kodiak Sciences|Consultant / Independent Contractor-Kodiak Sciences|Grant / Research Support-Novartis|Consultant / Independent Contractor-Novartis|Consultant / Independent Contractor-Merck|Consultant / Independent Contractor-Notal Vision|Consultant / Independent Contractor-Ocugen|Grant / Research Support-Ophthotech|Grant / Research Support-Regeneron|Grant / Research Support-Roche|Consultant / Independent Contractor-Roche|Consultant / Independent Contractor-Shire|Consultant / Independent Contractor-Santen Pharmaceuticals - 03/20/2021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Xu,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Contractor-Alimera Sciences|Consultant / Independent Contractor-Gyroscope Therapeutics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Yoshihiro Yonekawa,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Contractor-Alcon|Consultant / Independent Contractor-Allergan|Consultant / Independent Contractor-Alimera Sciences|Consultant / Independent Contractor-Genentech - 03/28/2021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A Klufas,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Bureau-Regeneron|Speaker’s Bureau-Genentech|Consultant / Independent Contractor-Genentech|Consultant / Independent Contractor-Allergan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Contractor-Genentech|Consultant / Independent Contractor-Novartis|Consultant / Independent Contractor-Bausch + Lomb|Consultant / Independent Contractor-Allergan|Consultant / Independent Contractor-Alimera Sciences|Speaker’s Bureau-Optos|Speaker’s Bureau-Spark Therapeutics|Consultant / Independent Contractor-Adverum|Consultant / Independent Contractor-Genentech|Advisor / Board Member-Recens Medical - 03/20/2021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Gorman,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6D5E0788"/>
    <w:multiLevelType w:val="multilevel"/>
    <w:tmpl w:val="6D5E0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D5E0789"/>
    <w:multiLevelType w:val="hybridMultilevel"/>
    <w:tmpl w:val="6D5E078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D5E078A"/>
    <w:multiLevelType w:val="multilevel"/>
    <w:tmpl w:val="6D5E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5E078B"/>
    <w:multiLevelType w:val="hybridMultilevel"/>
    <w:tmpl w:val="6D5E078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