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Anterior Segment Surgery Update (05/01/21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May 1,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May 1,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May 1,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Online</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Online</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Online</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sidR="00090473">
        <w:rPr>
          <w:noProof/>
          <w:szCs w:val="24"/>
        </w:rPr>
        <w:instrText>"</w:instrText>
      </w:r>
      <w:r w:rsidR="00090473">
        <w:rPr>
          <w:noProof/>
          <w:szCs w:val="24"/>
        </w:rPr>
        <w:instrText>Douglas Wisner</w:instrText>
      </w:r>
      <w:r>
        <w:rPr>
          <w:szCs w:val="24"/>
        </w:rPr>
        <w:instrText>, MD, Brandon Ayres, MD</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sidR="00090473">
        <w:rPr>
          <w:b/>
          <w:noProof/>
          <w:sz w:val="28"/>
          <w:szCs w:val="28"/>
        </w:rPr>
        <w:instrText>Douglas Wisner</w:instrText>
      </w:r>
      <w:r>
        <w:rPr>
          <w:b/>
          <w:sz w:val="28"/>
          <w:szCs w:val="28"/>
        </w:rPr>
        <w:instrText>, MD, Brandon Ayres, MD</w:instrText>
      </w:r>
    </w:p>
    <w:p w:rsidR="00090473" w:rsidP="0080402E">
      <w:pPr>
        <w:ind w:left="540" w:right="414"/>
        <w:jc w:val="center"/>
        <w:rPr>
          <w:noProof/>
          <w:szCs w:val="24"/>
        </w:rPr>
      </w:pPr>
      <w:r>
        <w:rPr>
          <w:szCs w:val="24"/>
        </w:rPr>
        <w:instrText xml:space="preserve"> "</w:instrText>
      </w:r>
      <w:r>
        <w:rPr>
          <w:szCs w:val="24"/>
        </w:rPr>
        <w:fldChar w:fldCharType="separate"/>
      </w:r>
      <w:r w:rsidRPr="00806477" w:rsidR="00DB066A">
        <w:rPr>
          <w:szCs w:val="24"/>
        </w:rPr>
        <w:t>Program Chair</w:t>
      </w:r>
      <w:r w:rsidR="00DB066A">
        <w:rPr>
          <w:szCs w:val="24"/>
        </w:rPr>
        <w:t>(s):</w:t>
      </w:r>
    </w:p>
    <w:p w:rsidR="003936BF" w:rsidRPr="00042BB4" w:rsidP="0080402E">
      <w:pPr>
        <w:ind w:left="540" w:right="414"/>
        <w:jc w:val="center"/>
        <w:rPr>
          <w:b/>
          <w:sz w:val="28"/>
          <w:szCs w:val="28"/>
        </w:rPr>
      </w:pPr>
      <w:r w:rsidR="00090473">
        <w:rPr>
          <w:b/>
          <w:noProof/>
          <w:sz w:val="28"/>
          <w:szCs w:val="28"/>
        </w:rPr>
        <w:t>Douglas Wisner</w:t>
      </w:r>
      <w:r>
        <w:rPr>
          <w:b/>
          <w:sz w:val="28"/>
          <w:szCs w:val="28"/>
        </w:rPr>
        <w:t>, MD, Brandon Ayres, MD</w:t>
      </w:r>
    </w:p>
    <w:p w:rsidR="00422C29" w:rsidP="0080402E">
      <w:pPr>
        <w:ind w:left="540" w:right="414"/>
        <w:jc w:val="center"/>
        <w:rPr>
          <w:szCs w:val="24"/>
        </w:rPr>
      </w:pPr>
      <w:r>
        <w:rPr>
          <w:szCs w:val="24"/>
        </w:rPr>
        <w:t xml:space="preserve"> </w:t>
      </w:r>
      <w:r>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jc w:val="left"/>
        <w:rPr>
          <w:rtl w:val="0"/>
        </w:rPr>
      </w:pPr>
      <w:r>
        <w:rPr>
          <w:rtl w:val="0"/>
        </w:rPr>
        <w:instrText>The Anterior Segment Surgery Update will provide ophthalmic surgeons with resources on current and innovative surgical techniques for a variety of complex cataract, IOL and MIGS procedures.  The update will help surgeons understand when to use those techniques, pivotal steps in the procedures, and limitations/complications.</w:instrText>
      </w:r>
    </w:p>
    <w:p>
      <w:pPr>
        <w:bidi w:val="0"/>
        <w:spacing w:after="280" w:afterAutospacing="1"/>
        <w:jc w:val="left"/>
        <w:rPr>
          <w:rtl w:val="0"/>
        </w:rPr>
      </w:pPr>
      <w:r>
        <w:rPr>
          <w:b/>
          <w:bCs/>
          <w:rtl w:val="0"/>
        </w:rPr>
        <w:instrText>Registration</w:instrText>
      </w:r>
    </w:p>
    <w:p>
      <w:pPr>
        <w:bidi w:val="0"/>
        <w:spacing w:after="280" w:afterAutospacing="1"/>
        <w:jc w:val="left"/>
        <w:rPr>
          <w:rtl w:val="0"/>
        </w:rPr>
      </w:pPr>
      <w:r>
        <w:rPr>
          <w:rtl w:val="0"/>
        </w:rPr>
        <w:instrText>Full registration for virtual events are a two-step process:</w:instrText>
      </w:r>
    </w:p>
    <w:p>
      <w:pPr>
        <w:numPr>
          <w:ilvl w:val="0"/>
          <w:numId w:val="5"/>
        </w:numPr>
        <w:bidi w:val="0"/>
        <w:jc w:val="left"/>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"https://willseye.cloud-cme.com/course/courseoverview?P=0&amp;EID=87&amp;IsExhibitor=false"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Register above</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instrText xml:space="preserve"> [event] (to claim CME)</w:instrText>
      </w:r>
    </w:p>
    <w:p>
      <w:pPr>
        <w:numPr>
          <w:ilvl w:val="0"/>
          <w:numId w:val="5"/>
        </w:numPr>
        <w:bidi w:val="0"/>
        <w:spacing w:after="280" w:afterAutospacing="1"/>
        <w:jc w:val="left"/>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"https://attendee.gotowebinar.com/register/1802511348547600"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 </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"https://attendee.gotowebinar.com/register/1802511348547600"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Sign-up for link</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instrText> [webinar] (to watch live)</w:instrText>
      </w:r>
    </w:p>
    <w:p>
      <w:pPr>
        <w:bidi w:val="0"/>
        <w:spacing w:after="280" w:afterAutospacing="1"/>
        <w:jc w:val="left"/>
        <w:rPr>
          <w:rtl w:val="0"/>
        </w:rPr>
      </w:pPr>
      <w:r>
        <w:rPr>
          <w:i/>
          <w:iCs/>
          <w:rtl w:val="0"/>
        </w:rPr>
        <w:instrText>Registration for in-person space is limited. You must pre-register above; there will be no onsite registration. Bring proof of vaccination and wear a mask onsite. Please be respectful of social distancing. No residents can register for in-person events at this time due to Jefferson COVID-19 policies.</w:instrText>
      </w:r>
    </w:p>
    <w:p>
      <w:pPr>
        <w:bidi w:val="0"/>
        <w:spacing w:after="280" w:afterAutospacing="1"/>
        <w:jc w:val="left"/>
        <w:rPr>
          <w:rtl w:val="0"/>
        </w:rPr>
      </w:pPr>
      <w:r>
        <w:rPr>
          <w:b/>
          <w:bCs/>
          <w:rtl w:val="0"/>
        </w:rPr>
        <w:instrText>Attendance</w:instrText>
      </w:r>
    </w:p>
    <w:p>
      <w:pPr>
        <w:bidi w:val="0"/>
        <w:spacing w:after="280" w:afterAutospacing="1"/>
        <w:jc w:val="left"/>
        <w:rPr>
          <w:rtl w:val="0"/>
        </w:rPr>
      </w:pPr>
      <w:r>
        <w:rPr>
          <w:rtl w:val="0"/>
        </w:rPr>
        <w:instrText>Text attendance or use the app.</w:instrText>
      </w:r>
    </w:p>
    <w:p>
      <w:pPr>
        <w:numPr>
          <w:ilvl w:val="0"/>
          <w:numId w:val="6"/>
        </w:numPr>
        <w:bidi w:val="0"/>
        <w:jc w:val="left"/>
        <w:rPr>
          <w:rtl w:val="0"/>
        </w:rPr>
      </w:pPr>
      <w:r>
        <w:rPr>
          <w:rtl w:val="0"/>
        </w:rPr>
        <w:fldChar w:fldCharType="begin"/>
      </w:r>
      <w:r>
        <w:rPr>
          <w:rtl w:val="0"/>
        </w:rPr>
        <w:instrText xml:space="preserve"> HYPERLINK "https://www.willseye.org/wp-content/uploads/2021/04/210406_Templ_QRCodeSlide_Final.pdf" </w:instrText>
      </w:r>
      <w:r>
        <w:rPr>
          <w:rtl w:val="0"/>
        </w:rPr>
        <w:fldChar w:fldCharType="separate"/>
      </w:r>
      <w:r>
        <w:rPr>
          <w:color w:val="0000FF"/>
          <w:u w:val="single"/>
          <w:rtl w:val="0"/>
        </w:rPr>
        <w:instrText>Infographic </w:instrText>
      </w:r>
      <w:r>
        <w:rPr>
          <w:rtl w:val="0"/>
        </w:rPr>
        <w:fldChar w:fldCharType="end"/>
      </w:r>
    </w:p>
    <w:p>
      <w:pPr>
        <w:numPr>
          <w:ilvl w:val="0"/>
          <w:numId w:val="6"/>
        </w:numPr>
        <w:bidi w:val="0"/>
        <w:spacing w:after="280" w:afterAutospacing="1"/>
        <w:jc w:val="left"/>
        <w:rPr>
          <w:rtl w:val="0"/>
        </w:rPr>
      </w:pPr>
      <w:r>
        <w:rPr>
          <w:rtl w:val="0"/>
        </w:rPr>
        <w:fldChar w:fldCharType="begin"/>
      </w:r>
      <w:r>
        <w:rPr>
          <w:rtl w:val="0"/>
        </w:rPr>
        <w:instrText xml:space="preserve"> HYPERLINK "https://www.willseye.org/wp-content/uploads/2021/04/210406_Templ_QRCodeSlide_Final.pdf" </w:instrText>
      </w:r>
      <w:r>
        <w:rPr>
          <w:rtl w:val="0"/>
        </w:rPr>
        <w:fldChar w:fldCharType="separate"/>
      </w:r>
      <w:r>
        <w:rPr>
          <w:color w:val="0000FF"/>
          <w:u w:val="single"/>
          <w:rtl w:val="0"/>
        </w:rPr>
        <w:instrText>video tutorial</w:instrText>
      </w:r>
      <w:r>
        <w:rPr>
          <w:rtl w:val="0"/>
        </w:rPr>
        <w:fldChar w:fldCharType="end"/>
      </w:r>
    </w:p>
    <w:p>
      <w:pPr>
        <w:bidi w:val="0"/>
        <w:spacing w:after="280" w:afterAutospacing="1"/>
        <w:ind w:left="600"/>
        <w:jc w:val="left"/>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79.21pt;width:79.21pt">
            <v:imagedata r:id="rId6" o:title=""/>
          </v:shape>
        </w:pict>
      </w:r>
      <w:r>
        <w:rPr>
          <w:rtl w:val="0"/>
        </w:rPr>
        <w:br/>
      </w:r>
      <w:r>
        <w:rPr>
          <w:rFonts w:ascii="Helvetica" w:eastAsia="Helvetica" w:hAnsi="Helvetica" w:cs="Helvetica"/>
          <w:sz w:val="20"/>
          <w:szCs w:val="20"/>
          <w:rtl w:val="0"/>
        </w:rPr>
        <w:instrText>(</w:instrText>
      </w:r>
      <w:r>
        <w:rPr>
          <w:rtl w:val="0"/>
        </w:rPr>
        <w:fldChar w:fldCharType="begin"/>
      </w:r>
      <w:r>
        <w:rPr>
          <w:rtl w:val="0"/>
        </w:rPr>
        <w:instrText xml:space="preserve"> HYPERLINK "https://apps.apple.com/us/app/cloudcme/id624053130" </w:instrText>
      </w:r>
      <w:r>
        <w:rPr>
          <w:rtl w:val="0"/>
        </w:rPr>
        <w:fldChar w:fldCharType="separate"/>
      </w:r>
      <w:r>
        <w:rPr>
          <w:rFonts w:ascii="Helvetica" w:eastAsia="Helvetica" w:hAnsi="Helvetica" w:cs="Helvetica"/>
          <w:color w:val="0000FF"/>
          <w:sz w:val="20"/>
          <w:szCs w:val="20"/>
          <w:u w:val="single"/>
          <w:rtl w:val="0"/>
        </w:rPr>
        <w:instrText>iPhone</w:instrText>
      </w:r>
      <w:r>
        <w:rPr>
          <w:rtl w:val="0"/>
        </w:rPr>
        <w:fldChar w:fldCharType="end"/>
      </w:r>
      <w:r>
        <w:rPr>
          <w:rFonts w:ascii="Helvetica" w:eastAsia="Helvetica" w:hAnsi="Helvetica" w:cs="Helvetica"/>
          <w:sz w:val="20"/>
          <w:szCs w:val="20"/>
          <w:rtl w:val="0"/>
        </w:rPr>
        <w:instrText>/</w:instrText>
      </w:r>
      <w:r>
        <w:rPr>
          <w:rtl w:val="0"/>
        </w:rPr>
        <w:fldChar w:fldCharType="begin"/>
      </w:r>
      <w:r>
        <w:rPr>
          <w:rtl w:val="0"/>
        </w:rPr>
        <w:instrText xml:space="preserve"> HYPERLINK "https://play.google.com/store/apps/details?id=com.multiweb.checkin&amp;hl=en_US&amp;gl=US" </w:instrText>
      </w:r>
      <w:r>
        <w:rPr>
          <w:rtl w:val="0"/>
        </w:rPr>
        <w:fldChar w:fldCharType="separate"/>
      </w:r>
      <w:r>
        <w:rPr>
          <w:rFonts w:ascii="Helvetica" w:eastAsia="Helvetica" w:hAnsi="Helvetica" w:cs="Helvetica"/>
          <w:color w:val="0000FF"/>
          <w:sz w:val="20"/>
          <w:szCs w:val="20"/>
          <w:u w:val="single"/>
          <w:rtl w:val="0"/>
        </w:rPr>
        <w:instrText>Android</w:instrText>
      </w:r>
      <w:r>
        <w:rPr>
          <w:rtl w:val="0"/>
        </w:rPr>
        <w:fldChar w:fldCharType="end"/>
      </w:r>
      <w:r>
        <w:rPr>
          <w:rFonts w:ascii="Helvetica" w:eastAsia="Helvetica" w:hAnsi="Helvetica" w:cs="Helvetica"/>
          <w:sz w:val="20"/>
          <w:szCs w:val="20"/>
          <w:rtl w:val="0"/>
        </w:rPr>
        <w:instrText>)</w:instrText>
      </w:r>
    </w:p>
    <w:p w:rsidRPr="00DF494A">
      <w:pPr>
        <w:bidi w:val="0"/>
        <w:spacing w:after="280" w:afterAutospacing="1"/>
        <w:jc w:val="left"/>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jc w:val="left"/>
        <w:rPr>
          <w:bCs/>
          <w:iCs/>
          <w:noProof/>
        </w:rPr>
      </w:pPr>
      <w:r>
        <w:rPr>
          <w:rtl w:val="0"/>
        </w:rPr>
        <w:instrText>The Anterior Segment Surgery Update will provide ophthalmic surgeons with resources on current and innovative surgical techniques for a variety of complex cataract, IOL and MIGS procedures.  The update will help surgeons understand when to use those techniques, pivotal steps in the procedures, and limitations/complications.</w:instrText>
      </w:r>
    </w:p>
    <w:p>
      <w:pPr>
        <w:bidi w:val="0"/>
        <w:spacing w:after="280" w:afterAutospacing="1"/>
        <w:jc w:val="left"/>
        <w:rPr>
          <w:rtl w:val="0"/>
        </w:rPr>
      </w:pPr>
      <w:r>
        <w:rPr>
          <w:b/>
          <w:bCs/>
          <w:rtl w:val="0"/>
        </w:rPr>
        <w:instrText>Registration</w:instrText>
      </w:r>
    </w:p>
    <w:p>
      <w:pPr>
        <w:bidi w:val="0"/>
        <w:spacing w:after="280" w:afterAutospacing="1"/>
        <w:jc w:val="left"/>
        <w:rPr>
          <w:rtl w:val="0"/>
        </w:rPr>
      </w:pPr>
      <w:r>
        <w:rPr>
          <w:rtl w:val="0"/>
        </w:rPr>
        <w:instrText>Full registration for virtual events are a two-step process:</w:instrText>
      </w:r>
    </w:p>
    <w:p>
      <w:pPr>
        <w:numPr>
          <w:ilvl w:val="0"/>
          <w:numId w:val="7"/>
        </w:numPr>
        <w:bidi w:val="0"/>
        <w:jc w:val="left"/>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"https://willseye.cloud-cme.com/course/courseoverview?P=0&amp;EID=87&amp;IsExhibitor=false"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Register above</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instrText xml:space="preserve"> [event] (to claim CME)</w:instrText>
      </w:r>
    </w:p>
    <w:p>
      <w:pPr>
        <w:numPr>
          <w:ilvl w:val="0"/>
          <w:numId w:val="7"/>
        </w:numPr>
        <w:bidi w:val="0"/>
        <w:spacing w:after="280" w:afterAutospacing="1"/>
        <w:jc w:val="left"/>
        <w:rPr>
          <w:rtl w:val="0"/>
        </w:rPr>
      </w:pP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"https://attendee.gotowebinar.com/register/1802511348547600"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 </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"https://attendee.gotowebinar.com/register/1802511348547600"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instrText>Sign-up for link</w:instrText>
      </w:r>
      <w:r>
        <w:rPr>
          <w:rFonts w:ascii="Helvetica" w:eastAsia="Helvetica" w:hAnsi="Helvetica" w:cs="Helvetica"/>
          <w:sz w:val="24"/>
          <w:szCs w:val="24"/>
          <w:rtl w:val="0"/>
        </w:rPr>
        <w:fldChar w:fldCharType="end"/>
      </w:r>
      <w:r>
        <w:rPr>
          <w:rFonts w:ascii="Helvetica" w:eastAsia="Helvetica" w:hAnsi="Helvetica" w:cs="Helvetica"/>
          <w:sz w:val="24"/>
          <w:szCs w:val="24"/>
          <w:rtl w:val="0"/>
        </w:rPr>
        <w:instrText> [webinar] (to watch live)</w:instrText>
      </w:r>
    </w:p>
    <w:p>
      <w:pPr>
        <w:bidi w:val="0"/>
        <w:spacing w:after="280" w:afterAutospacing="1"/>
        <w:jc w:val="left"/>
        <w:rPr>
          <w:rtl w:val="0"/>
        </w:rPr>
      </w:pPr>
      <w:r>
        <w:rPr>
          <w:i/>
          <w:iCs/>
          <w:rtl w:val="0"/>
        </w:rPr>
        <w:instrText>Registration for in-person space is limited. You must pre-register above; there will be no onsite registration. Bring proof of vaccination and wear a mask onsite. Please be respectful of social distancing. No residents can register for in-person events at this time due to Jefferson COVID-19 policies.</w:instrText>
      </w:r>
    </w:p>
    <w:p>
      <w:pPr>
        <w:bidi w:val="0"/>
        <w:spacing w:after="280" w:afterAutospacing="1"/>
        <w:jc w:val="left"/>
        <w:rPr>
          <w:rtl w:val="0"/>
        </w:rPr>
      </w:pPr>
      <w:r>
        <w:rPr>
          <w:b/>
          <w:bCs/>
          <w:rtl w:val="0"/>
        </w:rPr>
        <w:instrText>Attendance</w:instrText>
      </w:r>
    </w:p>
    <w:p>
      <w:pPr>
        <w:bidi w:val="0"/>
        <w:spacing w:after="280" w:afterAutospacing="1"/>
        <w:jc w:val="left"/>
        <w:rPr>
          <w:rtl w:val="0"/>
        </w:rPr>
      </w:pPr>
      <w:r>
        <w:rPr>
          <w:rtl w:val="0"/>
        </w:rPr>
        <w:instrText>Text attendance or use the app.</w:instrText>
      </w:r>
    </w:p>
    <w:p>
      <w:pPr>
        <w:numPr>
          <w:ilvl w:val="0"/>
          <w:numId w:val="8"/>
        </w:numPr>
        <w:bidi w:val="0"/>
        <w:jc w:val="left"/>
        <w:rPr>
          <w:rtl w:val="0"/>
        </w:rPr>
      </w:pPr>
      <w:r>
        <w:rPr>
          <w:rtl w:val="0"/>
        </w:rPr>
        <w:fldChar w:fldCharType="begin"/>
      </w:r>
      <w:r>
        <w:rPr>
          <w:rtl w:val="0"/>
        </w:rPr>
        <w:instrText xml:space="preserve"> HYPERLINK "https://www.willseye.org/wp-content/uploads/2021/04/210406_Templ_QRCodeSlide_Final.pdf" </w:instrText>
      </w:r>
      <w:r>
        <w:rPr>
          <w:rtl w:val="0"/>
        </w:rPr>
        <w:fldChar w:fldCharType="separate"/>
      </w:r>
      <w:r>
        <w:rPr>
          <w:color w:val="0000FF"/>
          <w:u w:val="single"/>
          <w:rtl w:val="0"/>
        </w:rPr>
        <w:instrText>Infographic </w:instrText>
      </w:r>
      <w:r>
        <w:rPr>
          <w:rtl w:val="0"/>
        </w:rPr>
        <w:fldChar w:fldCharType="end"/>
      </w:r>
    </w:p>
    <w:p>
      <w:pPr>
        <w:numPr>
          <w:ilvl w:val="0"/>
          <w:numId w:val="8"/>
        </w:numPr>
        <w:bidi w:val="0"/>
        <w:spacing w:after="280" w:afterAutospacing="1"/>
        <w:jc w:val="left"/>
        <w:rPr>
          <w:rtl w:val="0"/>
        </w:rPr>
      </w:pPr>
      <w:r>
        <w:rPr>
          <w:rtl w:val="0"/>
        </w:rPr>
        <w:fldChar w:fldCharType="begin"/>
      </w:r>
      <w:r>
        <w:rPr>
          <w:rtl w:val="0"/>
        </w:rPr>
        <w:instrText xml:space="preserve"> HYPERLINK "https://www.willseye.org/wp-content/uploads/2021/04/210406_Templ_QRCodeSlide_Final.pdf" </w:instrText>
      </w:r>
      <w:r>
        <w:rPr>
          <w:rtl w:val="0"/>
        </w:rPr>
        <w:fldChar w:fldCharType="separate"/>
      </w:r>
      <w:r>
        <w:rPr>
          <w:color w:val="0000FF"/>
          <w:u w:val="single"/>
          <w:rtl w:val="0"/>
        </w:rPr>
        <w:instrText>video tutorial</w:instrText>
      </w:r>
      <w:r>
        <w:rPr>
          <w:rtl w:val="0"/>
        </w:rPr>
        <w:fldChar w:fldCharType="end"/>
      </w:r>
    </w:p>
    <w:p>
      <w:pPr>
        <w:bidi w:val="0"/>
        <w:spacing w:after="280" w:afterAutospacing="1"/>
        <w:ind w:left="600"/>
        <w:jc w:val="left"/>
        <w:rPr>
          <w:rtl w:val="0"/>
        </w:rPr>
      </w:pPr>
      <w:r>
        <w:rPr>
          <w:rtl w:val="0"/>
        </w:rPr>
        <w:pict>
          <v:shape id="_x0000_i1026" type="#_x0000_t75" style="height:79.21pt;width:79.21pt">
            <v:imagedata r:id="rId6" o:title=""/>
          </v:shape>
        </w:pict>
      </w:r>
      <w:r>
        <w:rPr>
          <w:rtl w:val="0"/>
        </w:rPr>
        <w:br/>
      </w:r>
      <w:r>
        <w:rPr>
          <w:rFonts w:ascii="Helvetica" w:eastAsia="Helvetica" w:hAnsi="Helvetica" w:cs="Helvetica"/>
          <w:sz w:val="20"/>
          <w:szCs w:val="20"/>
          <w:rtl w:val="0"/>
        </w:rPr>
        <w:instrText>(</w:instrText>
      </w:r>
      <w:r>
        <w:rPr>
          <w:rtl w:val="0"/>
        </w:rPr>
        <w:fldChar w:fldCharType="begin"/>
      </w:r>
      <w:r>
        <w:rPr>
          <w:rtl w:val="0"/>
        </w:rPr>
        <w:instrText xml:space="preserve"> HYPERLINK "https://apps.apple.com/us/app/cloudcme/id624053130" </w:instrText>
      </w:r>
      <w:r>
        <w:rPr>
          <w:rtl w:val="0"/>
        </w:rPr>
        <w:fldChar w:fldCharType="separate"/>
      </w:r>
      <w:r>
        <w:rPr>
          <w:rFonts w:ascii="Helvetica" w:eastAsia="Helvetica" w:hAnsi="Helvetica" w:cs="Helvetica"/>
          <w:color w:val="0000FF"/>
          <w:sz w:val="20"/>
          <w:szCs w:val="20"/>
          <w:u w:val="single"/>
          <w:rtl w:val="0"/>
        </w:rPr>
        <w:instrText>iPhone</w:instrText>
      </w:r>
      <w:r>
        <w:rPr>
          <w:rtl w:val="0"/>
        </w:rPr>
        <w:fldChar w:fldCharType="end"/>
      </w:r>
      <w:r>
        <w:rPr>
          <w:rFonts w:ascii="Helvetica" w:eastAsia="Helvetica" w:hAnsi="Helvetica" w:cs="Helvetica"/>
          <w:sz w:val="20"/>
          <w:szCs w:val="20"/>
          <w:rtl w:val="0"/>
        </w:rPr>
        <w:instrText>/</w:instrText>
      </w:r>
      <w:r>
        <w:rPr>
          <w:rtl w:val="0"/>
        </w:rPr>
        <w:fldChar w:fldCharType="begin"/>
      </w:r>
      <w:r>
        <w:rPr>
          <w:rtl w:val="0"/>
        </w:rPr>
        <w:instrText xml:space="preserve"> HYPERLINK "https://play.google.com/store/apps/details?id=com.multiweb.checkin&amp;hl=en_US&amp;gl=US" </w:instrText>
      </w:r>
      <w:r>
        <w:rPr>
          <w:rtl w:val="0"/>
        </w:rPr>
        <w:fldChar w:fldCharType="separate"/>
      </w:r>
      <w:r>
        <w:rPr>
          <w:rFonts w:ascii="Helvetica" w:eastAsia="Helvetica" w:hAnsi="Helvetica" w:cs="Helvetica"/>
          <w:color w:val="0000FF"/>
          <w:sz w:val="20"/>
          <w:szCs w:val="20"/>
          <w:u w:val="single"/>
          <w:rtl w:val="0"/>
        </w:rPr>
        <w:instrText>Android</w:instrText>
      </w:r>
      <w:r>
        <w:rPr>
          <w:rtl w:val="0"/>
        </w:rPr>
        <w:fldChar w:fldCharType="end"/>
      </w:r>
      <w:r>
        <w:rPr>
          <w:rFonts w:ascii="Helvetica" w:eastAsia="Helvetica" w:hAnsi="Helvetica" w:cs="Helvetica"/>
          <w:sz w:val="20"/>
          <w:szCs w:val="20"/>
          <w:rtl w:val="0"/>
        </w:rPr>
        <w:instrText>)</w:instrText>
      </w:r>
    </w:p>
    <w:p>
      <w:pPr>
        <w:bidi w:val="0"/>
        <w:spacing w:after="280" w:afterAutospacing="1"/>
        <w:jc w:val="left"/>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jc w:val="left"/>
        <w:rPr>
          <w:bCs/>
          <w:iCs/>
          <w:noProof/>
        </w:rPr>
      </w:pPr>
      <w:r>
        <w:rPr>
          <w:rtl w:val="0"/>
        </w:rPr>
        <w:t>The Anterior Segment Surgery Update will provide ophthalmic surgeons with resources on current and innovative surgical techniques for a variety of complex cataract, IOL and MIGS procedures.  The update will help surgeons understand when to use those techniques, pivotal steps in the procedures, and limitations/complications.</w:t>
      </w:r>
    </w:p>
    <w:p>
      <w:pPr>
        <w:bidi w:val="0"/>
        <w:spacing w:after="280" w:afterAutospacing="1"/>
        <w:jc w:val="left"/>
        <w:rPr>
          <w:rtl w:val="0"/>
        </w:rPr>
      </w:pPr>
      <w:r>
        <w:rPr>
          <w:b/>
          <w:bCs/>
          <w:rtl w:val="0"/>
        </w:rPr>
        <w:t>Registration</w:t>
      </w:r>
    </w:p>
    <w:p>
      <w:pPr>
        <w:bidi w:val="0"/>
        <w:spacing w:after="280" w:afterAutospacing="1"/>
        <w:jc w:val="left"/>
        <w:rPr>
          <w:rtl w:val="0"/>
        </w:rPr>
      </w:pPr>
      <w:r>
        <w:rPr>
          <w:rtl w:val="0"/>
        </w:rPr>
        <w:t>Full registration for virtual events are a two-step process:</w:t>
      </w:r>
    </w:p>
    <w:p>
      <w:pPr>
        <w:numPr>
          <w:ilvl w:val="0"/>
          <w:numId w:val="7"/>
        </w:numPr>
        <w:bidi w:val="0"/>
        <w:jc w:val="left"/>
        <w:rPr>
          <w:rtl w:val="0"/>
        </w:rPr>
      </w:pPr>
      <w:r>
        <w:rPr>
          <w:rFonts w:ascii="Helvetica" w:eastAsia="Helvetica" w:hAnsi="Helvetica" w:cs="Helvetica"/>
          <w:color w:val="0000FF"/>
          <w:sz w:val="24"/>
          <w:szCs w:val="24"/>
          <w:u w:val="single"/>
          <w:rtl w:val="0"/>
        </w:rPr>
        <w:t>Register above</w:t>
      </w:r>
      <w:r>
        <w:rPr>
          <w:rFonts w:ascii="Helvetica" w:eastAsia="Helvetica" w:hAnsi="Helvetica" w:cs="Helvetica"/>
          <w:sz w:val="24"/>
          <w:szCs w:val="24"/>
          <w:rtl w:val="0"/>
        </w:rPr>
        <w:t xml:space="preserve"> [event] (to claim CME)</w:t>
      </w:r>
    </w:p>
    <w:p>
      <w:pPr>
        <w:numPr>
          <w:ilvl w:val="0"/>
          <w:numId w:val="7"/>
        </w:numPr>
        <w:bidi w:val="0"/>
        <w:spacing w:after="280" w:afterAutospacing="1"/>
        <w:jc w:val="left"/>
        <w:rPr>
          <w:rtl w:val="0"/>
        </w:rPr>
      </w:pPr>
      <w:r>
        <w:rPr>
          <w:rFonts w:ascii="Helvetica" w:eastAsia="Helvetica" w:hAnsi="Helvetica" w:cs="Helvetica"/>
          <w:color w:val="0000FF"/>
          <w:sz w:val="24"/>
          <w:szCs w:val="24"/>
          <w:u w:val="single"/>
          <w:rtl w:val="0"/>
        </w:rPr>
        <w:t> </w:t>
      </w:r>
      <w:r>
        <w:rPr>
          <w:rFonts w:ascii="Helvetica" w:eastAsia="Helvetica" w:hAnsi="Helvetica" w:cs="Helvetica"/>
          <w:color w:val="0000FF"/>
          <w:sz w:val="24"/>
          <w:szCs w:val="24"/>
          <w:u w:val="single"/>
          <w:rtl w:val="0"/>
        </w:rPr>
        <w:t>Sign-up for link</w:t>
      </w:r>
      <w:r>
        <w:rPr>
          <w:rFonts w:ascii="Helvetica" w:eastAsia="Helvetica" w:hAnsi="Helvetica" w:cs="Helvetica"/>
          <w:sz w:val="24"/>
          <w:szCs w:val="24"/>
          <w:rtl w:val="0"/>
        </w:rPr>
        <w:t> [webinar] (to watch live)</w:t>
      </w:r>
    </w:p>
    <w:p>
      <w:pPr>
        <w:bidi w:val="0"/>
        <w:spacing w:after="280" w:afterAutospacing="1"/>
        <w:jc w:val="left"/>
        <w:rPr>
          <w:rtl w:val="0"/>
        </w:rPr>
      </w:pPr>
      <w:r>
        <w:rPr>
          <w:i/>
          <w:iCs/>
          <w:rtl w:val="0"/>
        </w:rPr>
        <w:t>Registration for in-person space is limited. You must pre-register above; there will be no onsite registration. Bring proof of vaccination and wear a mask onsite. Please be respectful of social distancing. No residents can register for in-person events at this time due to Jefferson COVID-19 policies.</w:t>
      </w:r>
    </w:p>
    <w:p>
      <w:pPr>
        <w:bidi w:val="0"/>
        <w:spacing w:after="280" w:afterAutospacing="1"/>
        <w:jc w:val="left"/>
        <w:rPr>
          <w:rtl w:val="0"/>
        </w:rPr>
      </w:pPr>
      <w:r>
        <w:rPr>
          <w:b/>
          <w:bCs/>
          <w:rtl w:val="0"/>
        </w:rPr>
        <w:t>Attendance</w:t>
      </w:r>
    </w:p>
    <w:p>
      <w:pPr>
        <w:bidi w:val="0"/>
        <w:spacing w:after="280" w:afterAutospacing="1"/>
        <w:jc w:val="left"/>
        <w:rPr>
          <w:rtl w:val="0"/>
        </w:rPr>
      </w:pPr>
      <w:r>
        <w:rPr>
          <w:rtl w:val="0"/>
        </w:rPr>
        <w:t>Text attendance or use the app.</w:t>
      </w:r>
    </w:p>
    <w:p>
      <w:pPr>
        <w:numPr>
          <w:ilvl w:val="0"/>
          <w:numId w:val="8"/>
        </w:numPr>
        <w:bidi w:val="0"/>
        <w:jc w:val="left"/>
        <w:rPr>
          <w:rtl w:val="0"/>
        </w:rPr>
      </w:pPr>
      <w:r>
        <w:rPr>
          <w:color w:val="0000FF"/>
          <w:u w:val="single"/>
          <w:rtl w:val="0"/>
        </w:rPr>
        <w:t>Infographic </w:t>
      </w:r>
    </w:p>
    <w:p>
      <w:pPr>
        <w:numPr>
          <w:ilvl w:val="0"/>
          <w:numId w:val="8"/>
        </w:numPr>
        <w:bidi w:val="0"/>
        <w:spacing w:after="280" w:afterAutospacing="1"/>
        <w:jc w:val="left"/>
        <w:rPr>
          <w:rtl w:val="0"/>
        </w:rPr>
      </w:pPr>
      <w:r>
        <w:rPr>
          <w:color w:val="0000FF"/>
          <w:u w:val="single"/>
          <w:rtl w:val="0"/>
        </w:rPr>
        <w:t>video tutorial</w:t>
      </w:r>
    </w:p>
    <w:p>
      <w:pPr>
        <w:bidi w:val="0"/>
        <w:spacing w:after="280" w:afterAutospacing="1"/>
        <w:ind w:left="600"/>
        <w:jc w:val="left"/>
        <w:rPr>
          <w:rtl w:val="0"/>
        </w:rPr>
      </w:pPr>
      <w:r>
        <w:rPr>
          <w:rtl w:val="0"/>
        </w:rPr>
        <w:pict>
          <v:shape id="_x0000_i1027" type="#_x0000_t75" style="height:79.21pt;width:79.21pt">
            <v:imagedata r:id="rId6" o:title=""/>
          </v:shape>
        </w:pict>
      </w:r>
      <w:r>
        <w:rPr>
          <w:rtl w:val="0"/>
        </w:rPr>
        <w:br/>
      </w:r>
      <w:r>
        <w:rPr>
          <w:rFonts w:ascii="Helvetica" w:eastAsia="Helvetica" w:hAnsi="Helvetica" w:cs="Helvetica"/>
          <w:sz w:val="20"/>
          <w:szCs w:val="20"/>
          <w:rtl w:val="0"/>
        </w:rPr>
        <w:t>(</w:t>
      </w:r>
      <w:r>
        <w:rPr>
          <w:rFonts w:ascii="Helvetica" w:eastAsia="Helvetica" w:hAnsi="Helvetica" w:cs="Helvetica"/>
          <w:color w:val="0000FF"/>
          <w:sz w:val="20"/>
          <w:szCs w:val="20"/>
          <w:u w:val="single"/>
          <w:rtl w:val="0"/>
        </w:rPr>
        <w:t>iPhone</w:t>
      </w:r>
      <w:r>
        <w:rPr>
          <w:rFonts w:ascii="Helvetica" w:eastAsia="Helvetica" w:hAnsi="Helvetica" w:cs="Helvetica"/>
          <w:sz w:val="20"/>
          <w:szCs w:val="20"/>
          <w:rtl w:val="0"/>
        </w:rPr>
        <w:t>/</w:t>
      </w:r>
      <w:r>
        <w:rPr>
          <w:rFonts w:ascii="Helvetica" w:eastAsia="Helvetica" w:hAnsi="Helvetica" w:cs="Helvetica"/>
          <w:color w:val="0000FF"/>
          <w:sz w:val="20"/>
          <w:szCs w:val="20"/>
          <w:u w:val="single"/>
          <w:rtl w:val="0"/>
        </w:rPr>
        <w:t>Android</w:t>
      </w:r>
      <w:r>
        <w:rPr>
          <w:rFonts w:ascii="Helvetica" w:eastAsia="Helvetica" w:hAnsi="Helvetica" w:cs="Helvetica"/>
          <w:sz w:val="20"/>
          <w:szCs w:val="20"/>
          <w:rtl w:val="0"/>
        </w:rPr>
        <w:t>)</w:t>
      </w:r>
    </w:p>
    <w:p w:rsidR="00DF494A" w:rsidRPr="00DF494A">
      <w:pPr>
        <w:bidi w:val="0"/>
        <w:spacing w:after="280" w:afterAutospacing="1"/>
        <w:jc w:val="left"/>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eye diseases.</w:instrText>
      </w:r>
    </w:p>
    <w:p w:rsidR="00AC209D" w:rsidRPr="00522A80">
      <w:pPr>
        <w:bidi w:val="0"/>
        <w:spacing w:after="280" w:afterAutospacing="1"/>
        <w:jc w:val="left"/>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jc w:val="left"/>
        <w:rPr>
          <w:bCs/>
          <w:iCs/>
          <w:sz w:val="22"/>
          <w:szCs w:val="22"/>
        </w:rPr>
      </w:pPr>
      <w:r w:rsidRPr="00522A80" w:rsidR="00522A80">
        <w:rPr>
          <w:bCs/>
          <w:iCs/>
          <w:sz w:val="22"/>
          <w:szCs w:val="22"/>
        </w:rPr>
        <w:instrText>3 Assess the role of new technologies in the evaluation and treatment of eye diseases.</w:instrText>
      </w:r>
    </w:p>
    <w:p w:rsidR="00AC209D" w:rsidRPr="00522A80">
      <w:pPr>
        <w:bidi w:val="0"/>
        <w:spacing w:after="280" w:afterAutospacing="1"/>
        <w:jc w:val="left"/>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pPr>
        <w:bidi w:val="0"/>
        <w:spacing w:after="280" w:afterAutospacing="1"/>
        <w:jc w:val="left"/>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jc w:val="left"/>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5.50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5.50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Ayres,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Member-Alcon|Advisor / Board Member-Allergan|Advisor / Board Member-Bausch + Lomb|Advisor / Board Member-Omeros|Advisor / Board Member-Kala Pharmaceuticals|Advisor / Board Member-MicroSurgical Technology|Advisor / Board Member-Zeiss|Speaker’s Bureau-Alcon|Speaker’s Bureau-Allergan|Speaker’s Bureau-Dompé |Speaker’s Bureau-Bausch + Lomb - 04/14/2021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Wisner,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S Bailey,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Dale,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DiDomenico,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Brenton Finklea,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Omesh Gupta,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Sadeer B. Hannush,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Support-Kowa, Inc. - 04/06/2021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Aditya Kanesa-thasan,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 Ali Khan,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Contractor-Allergan|Consultant / Independent Contractor-Apellis Pharmaceuticals|Consultant / Independent Contractor-Genentech|Grant / Research Support-Regeneron - 04/15/2021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Support-Allergan|Consultant / Independent Contractor-Allergan|Grant / Research Support-Equinox|Grant / Research Support-Glaukos|Stock Shareholder-Glaukos|Grant / Research Support-Nicox|Grant / Research Support-Olleyes|Grant / Research Support-Optovue|Consultant / Independent Contractor-Quidel|Grant / Research Support-Santen - 02/22/2021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Beeran Meghpara,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Bureau-Dompé |Speaker’s Bureau-EyeVance Pharmaceuticals|Consultant / Independent Contractor-EyeVance Pharmaceuticals|Speaker’s Bureau-Kala Pharmaceuticals|Consultant / Independent Contractor-Ocular Therapeutix|Consultant / Independent Contractor-Oculus|Speaker’s Bureau-Sun Ophthalmics|Consultant / Independent Contractor-Sun Ophthalmics|Consultant / Independent Contractor-WL Gore &amp; Associates - 03/21/2021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Marlene R. Moster,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Pro,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Member-Aerie Pharmaceuticals|Advisor / Board Member-Omeros|Advisor / Board Member-Sight Sciences|Advisor / Board Member-Johnson &amp; Johnson|Advisor / Board Member-EyePoint Pharmaceuticals|Advisor / Board Member-EyeVance Pharmaceuticals|Speaker’s Bureau-Omeros|Speaker’s Bureau-Sight Sciences|Speaker’s Bureau-EyeVance Pharmaceuticals|Stock Shareholder-Strathspey-Crown Holdings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Reza Razeghinejad,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Support-Olleyes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Sieber,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Support-Dompé |Speaker’s Bureau-Bio-Tissue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Syd Tyson,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Brett Weinstock,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 Shareholder-Merck and Company, Inc. - 02/24/2021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Gorman,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- 02/24/2021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6D5E0788"/>
    <w:multiLevelType w:val="multilevel"/>
    <w:tmpl w:val="6D5E078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D5E0789"/>
    <w:multiLevelType w:val="hybridMultilevel"/>
    <w:tmpl w:val="6D5E078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D5E078A"/>
    <w:multiLevelType w:val="multilevel"/>
    <w:tmpl w:val="6D5E078A"/>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5E078B"/>
    <w:multiLevelType w:val="hybridMultilevel"/>
    <w:tmpl w:val="6D5E078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4</cp:revision>
  <cp:lastPrinted>2015-01-15T13:54:00Z</cp:lastPrinted>
  <dcterms:created xsi:type="dcterms:W3CDTF">2021-03-05T14:21:00Z</dcterms:created>
  <dcterms:modified xsi:type="dcterms:W3CDTF">2021-06-03T18:36:00Z</dcterms:modified>
</cp:coreProperties>
</file>