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Cornea Update (4/17/21 @ 8:25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April 17, 2021</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April 17, 2021</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April 17, 2021</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Online</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Online</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Online</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sidR="00090473">
        <w:rPr>
          <w:noProof/>
          <w:szCs w:val="24"/>
        </w:rPr>
        <w:instrText>"</w:instrText>
      </w:r>
      <w:r w:rsidR="00090473">
        <w:rPr>
          <w:noProof/>
          <w:szCs w:val="24"/>
        </w:rPr>
        <w:instrText>Beeran Meghpara</w:instrText>
      </w:r>
      <w:r>
        <w:rPr>
          <w:szCs w:val="24"/>
        </w:rPr>
        <w:instrText>, MD, Brenton Finklea, MD</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sidR="00090473">
        <w:rPr>
          <w:b/>
          <w:noProof/>
          <w:sz w:val="28"/>
          <w:szCs w:val="28"/>
        </w:rPr>
        <w:instrText>Beeran Meghpara</w:instrText>
      </w:r>
      <w:r>
        <w:rPr>
          <w:b/>
          <w:sz w:val="28"/>
          <w:szCs w:val="28"/>
        </w:rPr>
        <w:instrText>, MD, Brenton Finklea, MD</w:instrText>
      </w:r>
    </w:p>
    <w:p w:rsidR="00090473" w:rsidP="0080402E">
      <w:pPr>
        <w:ind w:left="540" w:right="414"/>
        <w:jc w:val="center"/>
        <w:rPr>
          <w:noProof/>
          <w:szCs w:val="24"/>
        </w:rPr>
      </w:pPr>
      <w:r>
        <w:rPr>
          <w:szCs w:val="24"/>
        </w:rPr>
        <w:instrText xml:space="preserve"> "</w:instrText>
      </w:r>
      <w:r>
        <w:rPr>
          <w:szCs w:val="24"/>
        </w:rPr>
        <w:fldChar w:fldCharType="separate"/>
      </w:r>
      <w:r w:rsidRPr="00806477" w:rsidR="00DB066A">
        <w:rPr>
          <w:szCs w:val="24"/>
        </w:rPr>
        <w:t>Program Chair</w:t>
      </w:r>
      <w:r w:rsidR="00DB066A">
        <w:rPr>
          <w:szCs w:val="24"/>
        </w:rPr>
        <w:t>(s):</w:t>
      </w:r>
    </w:p>
    <w:p w:rsidR="003936BF" w:rsidRPr="00042BB4" w:rsidP="0080402E">
      <w:pPr>
        <w:ind w:left="540" w:right="414"/>
        <w:jc w:val="center"/>
        <w:rPr>
          <w:b/>
          <w:sz w:val="28"/>
          <w:szCs w:val="28"/>
        </w:rPr>
      </w:pPr>
      <w:r w:rsidR="00090473">
        <w:rPr>
          <w:b/>
          <w:noProof/>
          <w:sz w:val="28"/>
          <w:szCs w:val="28"/>
        </w:rPr>
        <w:t>Beeran Meghpara</w:t>
      </w:r>
      <w:r>
        <w:rPr>
          <w:b/>
          <w:sz w:val="28"/>
          <w:szCs w:val="28"/>
        </w:rPr>
        <w:t>, MD, Brenton Finklea, MD</w:t>
      </w:r>
    </w:p>
    <w:p w:rsidR="00422C29" w:rsidP="0080402E">
      <w:pPr>
        <w:ind w:left="540" w:right="414"/>
        <w:jc w:val="center"/>
        <w:rPr>
          <w:szCs w:val="24"/>
        </w:rPr>
      </w:pPr>
      <w:r>
        <w:rPr>
          <w:szCs w:val="24"/>
        </w:rPr>
        <w:t xml:space="preserve"> </w:t>
      </w:r>
      <w:r>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p>
    <w:p>
      <w:pPr>
        <w:bidi w:val="0"/>
        <w:spacing w:after="280" w:afterAutospacing="1"/>
        <w:rPr>
          <w:rtl w:val="0"/>
        </w:rPr>
      </w:pPr>
      <w:r>
        <w:rPr>
          <w:rtl w:val="0"/>
        </w:rPr>
        <w:instrText>This conference will seek to update attendees on the modern imaging modalities available for the anterior segment. Presenters across subspecialties will facilitate discussions that will help attendees to get the most out their office and OR-based diagnostics. </w:instrText>
      </w:r>
      <w:r>
        <w:rPr>
          <w:rtl w:val="0"/>
        </w:rPr>
        <w:br/>
      </w:r>
      <w:r>
        <w:rPr>
          <w:rtl w:val="0"/>
        </w:rPr>
        <w:br/>
      </w:r>
      <w:r>
        <w:rPr>
          <w:rtl w:val="0"/>
        </w:rPr>
        <w:instrText>Topics Include:</w:instrText>
      </w:r>
      <w:r>
        <w:rPr>
          <w:rtl w:val="0"/>
        </w:rPr>
        <w:br/>
      </w:r>
      <w:r>
        <w:rPr>
          <w:rtl w:val="0"/>
        </w:rPr>
        <w:instrText>- Anterior Segment OCT</w:instrText>
      </w:r>
      <w:r>
        <w:rPr>
          <w:rtl w:val="0"/>
        </w:rPr>
        <w:br/>
      </w:r>
      <w:r>
        <w:rPr>
          <w:rtl w:val="0"/>
        </w:rPr>
        <w:instrText>- Corneal Topography and Tomography</w:instrText>
      </w:r>
      <w:r>
        <w:rPr>
          <w:rtl w:val="0"/>
        </w:rPr>
        <w:br/>
      </w:r>
      <w:r>
        <w:rPr>
          <w:rtl w:val="0"/>
        </w:rPr>
        <w:instrText>- Moder biometers and their applications</w:instrText>
      </w:r>
      <w:r>
        <w:rPr>
          <w:rtl w:val="0"/>
        </w:rPr>
        <w:br/>
      </w:r>
      <w:r>
        <w:rPr>
          <w:rtl w:val="0"/>
        </w:rPr>
        <w:instrText>- Aberrometry in the office and operating room</w:instrText>
      </w:r>
      <w:r>
        <w:rPr>
          <w:rtl w:val="0"/>
        </w:rPr>
        <w:br/>
      </w:r>
      <w:r>
        <w:rPr>
          <w:rtl w:val="0"/>
        </w:rPr>
        <w:instrText>- Ultrasound Biomicroscopy</w:instrText>
      </w:r>
      <w:r>
        <w:rPr>
          <w:rtl w:val="0"/>
        </w:rPr>
        <w:br/>
      </w:r>
      <w:r>
        <w:rPr>
          <w:rtl w:val="0"/>
        </w:rPr>
        <w:instrText>- Corneal Hysteresis </w:instrText>
      </w:r>
      <w:r>
        <w:rPr>
          <w:rtl w:val="0"/>
        </w:rPr>
        <w:br/>
      </w:r>
      <w:r>
        <w:rPr>
          <w:rtl w:val="0"/>
        </w:rPr>
        <w:instrText>- Slit Lamp Photography</w:instrTex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79.21pt;width:79.21pt">
            <v:imagedata r:id="rId6" o:title=""/>
          </v:shape>
        </w:pict>
      </w:r>
      <w:r>
        <w:rPr>
          <w:rtl w:val="0"/>
        </w:rPr>
        <w:br/>
      </w:r>
      <w:r>
        <w:rPr>
          <w:rtl w:val="0"/>
        </w:rPr>
        <w:instrText>(</w:instrText>
      </w:r>
      <w:r>
        <w:rPr>
          <w:rtl w:val="0"/>
        </w:rPr>
        <w:fldChar w:fldCharType="begin"/>
      </w:r>
      <w:r>
        <w:rPr>
          <w:rtl w:val="0"/>
        </w:rPr>
        <w:instrText xml:space="preserve"> HYPERLINK "https://play.google.com/store/apps/details?id=com.multiweb.checkin&amp;hl=en_US&amp;gl=US" </w:instrText>
      </w:r>
      <w:r>
        <w:rPr>
          <w:rtl w:val="0"/>
        </w:rPr>
        <w:fldChar w:fldCharType="separate"/>
      </w:r>
      <w:r>
        <w:rPr>
          <w:color w:val="0000FF"/>
          <w:u w:val="single"/>
          <w:rtl w:val="0"/>
        </w:rPr>
        <w:instrText>Android</w:instrText>
      </w:r>
      <w:r>
        <w:rPr>
          <w:rtl w:val="0"/>
        </w:rPr>
        <w:fldChar w:fldCharType="end"/>
      </w:r>
      <w:r>
        <w:rPr>
          <w:rtl w:val="0"/>
        </w:rPr>
        <w:instrText>/</w:instrText>
      </w:r>
      <w:r>
        <w:rPr>
          <w:rtl w:val="0"/>
        </w:rPr>
        <w:fldChar w:fldCharType="begin"/>
      </w:r>
      <w:r>
        <w:rPr>
          <w:rtl w:val="0"/>
        </w:rPr>
        <w:instrText xml:space="preserve"> HYPERLINK "https://apps.apple.com/us/app/cloudcme/id624053130" </w:instrText>
      </w:r>
      <w:r>
        <w:rPr>
          <w:rtl w:val="0"/>
        </w:rPr>
        <w:fldChar w:fldCharType="separate"/>
      </w:r>
      <w:r>
        <w:rPr>
          <w:color w:val="0000FF"/>
          <w:u w:val="single"/>
          <w:rtl w:val="0"/>
        </w:rPr>
        <w:instrText>iPhone</w:instrText>
      </w:r>
      <w:r>
        <w:rPr>
          <w:rtl w:val="0"/>
        </w:rPr>
        <w:fldChar w:fldCharType="end"/>
      </w:r>
      <w:r>
        <w:rPr>
          <w:rtl w:val="0"/>
        </w:rPr>
        <w:instrText>)</w:instrText>
      </w:r>
    </w:p>
    <w:p w:rsidRPr="00DF494A">
      <w:pPr>
        <w:bidi w:val="0"/>
        <w:spacing w:after="280" w:afterAutospacing="1"/>
        <w:rPr>
          <w:bCs/>
          <w:iCs/>
        </w:rPr>
      </w:pP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522A80" w:rsidP="000B10C9">
      <w:pPr>
        <w:ind w:left="450" w:right="324"/>
        <w:rPr>
          <w:bCs/>
          <w:iCs/>
          <w:sz w:val="22"/>
          <w:szCs w:val="22"/>
        </w:rPr>
      </w:pPr>
      <w:r>
        <w:rPr>
          <w:bCs/>
          <w:iCs/>
          <w:sz w:val="22"/>
          <w:szCs w:val="18"/>
        </w:rPr>
        <w:fldChar w:fldCharType="begin"/>
      </w:r>
      <w:r>
        <w:rPr>
          <w:bCs/>
          <w:iCs/>
          <w:sz w:val="22"/>
          <w:szCs w:val="18"/>
        </w:rPr>
        <w:instrText xml:space="preserve"> MERGEFIELD EventDesc </w:instrText>
      </w:r>
      <w:r>
        <w:rPr>
          <w:bCs/>
          <w:iCs/>
          <w:sz w:val="22"/>
          <w:szCs w:val="18"/>
        </w:rPr>
        <w:fldChar w:fldCharType="separate"/>
      </w:r>
      <w:r w:rsidR="00090473">
        <w:rPr>
          <w:bCs/>
          <w:iCs/>
          <w:noProof/>
          <w:sz w:val="22"/>
          <w:szCs w:val="18"/>
        </w:rPr>
        <w:instrText>«EventDesc»</w:instrText>
      </w:r>
      <w:r>
        <w:rPr>
          <w:bCs/>
          <w:iCs/>
          <w:sz w:val="22"/>
          <w:szCs w:val="18"/>
        </w:rPr>
        <w:fldChar w:fldCharType="end"/>
      </w:r>
      <w:r w:rsidRPr="00DF494A" w:rsidR="00DF494A">
        <w:rPr>
          <w:bCs/>
          <w:iCs/>
        </w:rPr>
        <w:instrText xml:space="preserve">" "" </w:instrText>
      </w:r>
      <w:r w:rsidRPr="00DF494A" w:rsidR="00DF494A">
        <w:rPr>
          <w:bCs/>
          <w:iCs/>
        </w:rPr>
        <w:fldChar w:fldCharType="separate"/>
      </w:r>
      <w:r w:rsidRPr="00DF494A" w:rsidR="00DF494A">
        <w:rPr>
          <w:b/>
          <w:bCs/>
          <w:iCs/>
        </w:rPr>
        <w:t>Error! Unknown op code for conditional.</w:t>
      </w:r>
      <w:r w:rsidRPr="00DF494A" w:rsid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Pr>
          <w:bCs/>
          <w:iCs/>
          <w:sz w:val="22"/>
          <w:szCs w:val="22"/>
        </w:rPr>
        <w:instrText>"</w:instrText>
      </w:r>
      <w:r w:rsidRPr="00522A80">
        <w:rPr>
          <w:bCs/>
          <w:iCs/>
          <w:sz w:val="22"/>
          <w:szCs w:val="22"/>
        </w:rPr>
        <w:instrText>1 Discuss important new advances in the etiologies, diagnosis, and treatment/prevention of eye diseases.</w:instrText>
      </w:r>
    </w:p>
    <w:p w:rsidR="00AC209D" w:rsidRPr="00522A80" w:rsidP="000B10C9">
      <w:pPr>
        <w:ind w:left="450" w:right="324"/>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rsidP="000B10C9">
      <w:pPr>
        <w:ind w:left="450" w:right="324"/>
        <w:rPr>
          <w:bCs/>
          <w:iCs/>
          <w:sz w:val="22"/>
          <w:szCs w:val="22"/>
        </w:rPr>
      </w:pPr>
      <w:r w:rsidRPr="00522A80" w:rsidR="00522A80">
        <w:rPr>
          <w:bCs/>
          <w:iCs/>
          <w:sz w:val="22"/>
          <w:szCs w:val="22"/>
        </w:rPr>
        <w:instrText>3 Assess the role of new technologies in the evaluation and treatment of eye diseases.</w:instrText>
      </w:r>
    </w:p>
    <w:p w:rsidR="00AC209D" w:rsidRPr="00522A80" w:rsidP="000B10C9">
      <w:pPr>
        <w:ind w:left="450" w:right="324"/>
        <w:rPr>
          <w:bCs/>
          <w:iCs/>
          <w:sz w:val="22"/>
          <w:szCs w:val="22"/>
        </w:rPr>
      </w:pPr>
      <w:r w:rsidRPr="00522A80" w:rsidR="00522A80">
        <w:rPr>
          <w:bCs/>
          <w:iCs/>
          <w:sz w:val="22"/>
          <w:szCs w:val="22"/>
        </w:rPr>
        <w:instrText>4 Describe factors that impact the effective delivery of the highest quality eye care for the public.</w:instrText>
      </w:r>
    </w:p>
    <w:p w:rsidR="00AC209D" w:rsidRPr="00522A80" w:rsidP="000B10C9">
      <w:pPr>
        <w:ind w:left="450" w:right="324"/>
        <w:rPr>
          <w:bCs/>
          <w:iCs/>
          <w:sz w:val="22"/>
          <w:szCs w:val="22"/>
        </w:rPr>
      </w:pPr>
      <w:r w:rsidRPr="00522A80" w:rsidR="00522A80">
        <w:rPr>
          <w:bCs/>
          <w:iCs/>
          <w:sz w:val="22"/>
          <w:szCs w:val="22"/>
        </w:rPr>
        <w:instrText>5 Identify clinical, scientific, and ethical issues confronting the profession.</w:instrText>
      </w:r>
    </w:p>
    <w:p w:rsidR="00AC209D" w:rsidRPr="00522A80" w:rsidP="000B10C9">
      <w:pPr>
        <w:ind w:left="450" w:right="324"/>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eye diseases.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eye diseases.</w:instrText>
      </w:r>
    </w:p>
    <w:p w:rsidP="000B10C9">
      <w:pPr>
        <w:ind w:left="450" w:right="324"/>
        <w:rPr>
          <w:bCs/>
          <w:iCs/>
          <w:sz w:val="22"/>
          <w:szCs w:val="22"/>
        </w:rPr>
      </w:pPr>
      <w:r>
        <w:rPr>
          <w:bCs/>
          <w:iCs/>
          <w:sz w:val="22"/>
          <w:szCs w:val="22"/>
        </w:rPr>
        <w:instrText>4 Describe factors that impact the effective delivery of the highest quality eye care for the public.</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eye diseases.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eye diseases.</w:t>
      </w:r>
    </w:p>
    <w:p w:rsidP="000B10C9">
      <w:pPr>
        <w:ind w:left="450" w:right="324"/>
        <w:rPr>
          <w:bCs/>
          <w:iCs/>
          <w:sz w:val="22"/>
          <w:szCs w:val="22"/>
        </w:rPr>
      </w:pPr>
      <w:r>
        <w:rPr>
          <w:bCs/>
          <w:iCs/>
          <w:sz w:val="22"/>
          <w:szCs w:val="22"/>
        </w:rPr>
        <w:t>4 Describe factors that impact the effective delivery of the highest quality eye care for the public.</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3.25</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3.25</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Gorman,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Brandon Ayres,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Member-Alcon|Advisor / Board Member-Allergan|Advisor / Board Member-Bausch + Lomb|Advisor / Board Member-Omeros|Advisor / Board Member-Kala Pharmaceuticals|Advisor / Board Member-MicroSurgical Technology|Advisor / Board Member-Zeiss|Speaker’s Bureau-Alcon|Speaker’s Bureau-Allergan|Speaker’s Bureau-Dompé |Speaker’s Bureau-Bausch + Lomb - 04/14/2021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Adam Bennett,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Brenton Finklea,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M. Hammersmith,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Sadeer B. Hannush,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Support-Kowa, Inc. - 04/06/2021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Ashley Khalili,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Lally,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Beeran Meghpara,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Bureau-Dompé |Speaker’s Bureau-EyeVance Pharmaceuticals|Consultant / Independent Contractor-EyeVance Pharmaceuticals|Speaker’s Bureau-Kala Pharmaceuticals|Consultant / Independent Contractor-Ocular Therapeutix|Consultant / Independent Contractor-Oculus|Speaker’s Bureau-Sun Ophthalmics|Consultant / Independent Contractor-Sun Ophthalmics|Consultant / Independent Contractor-WL Gore &amp; Associates - 03/21/2021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Marlene R. Moster,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Parveen K Nagra,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Ravi Patel,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Bureau-Allergan|Honoraria-Johnson &amp; Johnson|Honoraria-Bio-Tissue - 04/12/2021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J. Rapuano,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Contractor-Bio-Tissue|Speaker’s Bureau-Dompe|Consultant / Independent Contractor-Glaukos|Consultant / Independent Contractor-Kala|Consultant / Independent Contractor-Novartis AG|Consultant / Independent Contractor-Oyster Point|Consultant / Independent Contractor-Sun Ophthalmics|Consultant / Independent Contractor-Tarsus|Consultant / Independent Contractor-TearLab - 02/24/2021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Zeba A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Support-Dompé |Speaker’s Bureau-Bio-Tissue - 03/19/2021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Tien,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Tyler Browne</cp:lastModifiedBy>
  <cp:revision>2</cp:revision>
  <cp:lastPrinted>2015-01-15T13:54:00Z</cp:lastPrinted>
  <dcterms:created xsi:type="dcterms:W3CDTF">2021-03-05T14:13:00Z</dcterms:created>
  <dcterms:modified xsi:type="dcterms:W3CDTF">2021-03-05T14:13:00Z</dcterms:modified>
</cp:coreProperties>
</file>