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Oculoplastic Cosmetic Surgery Update 2025</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May 3,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May 3,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May 3,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"https://attendee.gotowebinar.com/register/8141858755813984608" </w:instrText>
      </w:r>
      <w:r>
        <w:rPr>
          <w:rtl w:val="0"/>
        </w:rPr>
        <w:fldChar w:fldCharType="separate"/>
      </w:r>
      <w:r>
        <w:rPr>
          <w:color w:val="0000FF"/>
          <w:sz w:val="36"/>
          <w:szCs w:val="36"/>
          <w:u w:val="single"/>
          <w:rtl w:val="0"/>
        </w:rPr>
        <w:t>Click Here to Register for the Livestream</w:t>
      </w:r>
      <w:r>
        <w:rPr>
          <w:rtl w:val="0"/>
        </w:rPr>
        <w:fldChar w:fldCharType="end"/>
      </w:r>
    </w:p>
    <w:p>
      <w:pPr>
        <w:bidi w:val="0"/>
        <w:spacing w:after="280" w:afterAutospacing="1"/>
        <w:rPr>
          <w:rtl w:val="0"/>
        </w:rPr>
      </w:pPr>
      <w:r>
        <w:rPr>
          <w:rtl w:val="0"/>
        </w:rPr>
        <w:t xml:space="preserve">This conference will focus on periocular and facial aesthetics to broaden and deepen the knowledge of comprehensive ophthalmologist and oculoplastic surgeons alike. </w:t>
      </w:r>
    </w:p>
    <w:p>
      <w:pPr>
        <w:bidi w:val="0"/>
        <w:spacing w:after="280" w:afterAutospacing="1"/>
        <w:rPr>
          <w:rtl w:val="0"/>
        </w:rPr>
      </w:pPr>
      <w:r>
        <w:rPr>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Describe meaningful enhancements to surgical practice.</w:instrText>
      </w:r>
    </w:p>
    <w:p w:rsidR="00AC209D" w:rsidRPr="00522A80">
      <w:pPr>
        <w:bidi w:val="0"/>
        <w:spacing w:after="280" w:afterAutospacing="1"/>
        <w:rPr>
          <w:bCs/>
          <w:iCs/>
          <w:sz w:val="22"/>
          <w:szCs w:val="22"/>
        </w:rPr>
      </w:pPr>
      <w:r w:rsidRPr="00522A80" w:rsidR="00522A80">
        <w:rPr>
          <w:bCs/>
          <w:iCs/>
          <w:sz w:val="22"/>
          <w:szCs w:val="22"/>
        </w:rPr>
        <w:instrText>2 Plan for surgical encounters with anatomic issues related to facial aging.</w:instrText>
      </w:r>
    </w:p>
    <w:p w:rsidR="00AC209D" w:rsidRPr="00522A80">
      <w:pPr>
        <w:bidi w:val="0"/>
        <w:spacing w:after="280" w:afterAutospacing="1"/>
        <w:rPr>
          <w:bCs/>
          <w:iCs/>
          <w:sz w:val="22"/>
          <w:szCs w:val="22"/>
        </w:rPr>
      </w:pPr>
      <w:r w:rsidRPr="00522A80" w:rsidR="00522A80">
        <w:rPr>
          <w:bCs/>
          <w:iCs/>
          <w:sz w:val="22"/>
          <w:szCs w:val="22"/>
        </w:rPr>
        <w:instrText>3 Incorporate non-surgical facial rejuvenation options into practice and be aware of potential pitfalls.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Describe meaningful enhancements to surgical practice.</w:instrText>
      </w:r>
    </w:p>
    <w:p w:rsidP="00412A04">
      <w:pPr>
        <w:ind w:left="446" w:right="331"/>
        <w:rPr>
          <w:bCs/>
          <w:iCs/>
          <w:sz w:val="22"/>
          <w:szCs w:val="22"/>
        </w:rPr>
      </w:pPr>
      <w:r>
        <w:rPr>
          <w:bCs/>
          <w:iCs/>
          <w:sz w:val="22"/>
          <w:szCs w:val="22"/>
        </w:rPr>
        <w:instrText>2 Plan for surgical encounters with anatomic issues related to facial aging.</w:instrText>
      </w:r>
    </w:p>
    <w:p w:rsidP="00412A04">
      <w:pPr>
        <w:ind w:left="446" w:right="331"/>
        <w:rPr>
          <w:bCs/>
          <w:iCs/>
          <w:sz w:val="22"/>
          <w:szCs w:val="22"/>
        </w:rPr>
      </w:pPr>
      <w:r>
        <w:rPr>
          <w:bCs/>
          <w:iCs/>
          <w:sz w:val="22"/>
          <w:szCs w:val="22"/>
        </w:rPr>
        <w:instrText>3 Incorporate non-surgical facial rejuvenation options into practice and be aware of potential pitfalls.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Describe meaningful enhancements to surgical practice.</w:t>
      </w:r>
    </w:p>
    <w:p w:rsidP="00412A04">
      <w:pPr>
        <w:ind w:left="446" w:right="331"/>
        <w:rPr>
          <w:bCs/>
          <w:iCs/>
          <w:sz w:val="22"/>
          <w:szCs w:val="22"/>
        </w:rPr>
      </w:pPr>
      <w:r>
        <w:rPr>
          <w:bCs/>
          <w:iCs/>
          <w:sz w:val="22"/>
          <w:szCs w:val="22"/>
        </w:rPr>
        <w:t>2 Plan for surgical encounters with anatomic issues related to facial aging.</w:t>
      </w:r>
    </w:p>
    <w:p w:rsidR="00AC209D" w:rsidRPr="00522A80" w:rsidP="00412A04">
      <w:pPr>
        <w:ind w:left="446" w:right="331"/>
        <w:rPr>
          <w:bCs/>
          <w:iCs/>
          <w:sz w:val="22"/>
          <w:szCs w:val="22"/>
        </w:rPr>
      </w:pPr>
      <w:r>
        <w:rPr>
          <w:bCs/>
          <w:iCs/>
          <w:sz w:val="22"/>
          <w:szCs w:val="22"/>
        </w:rPr>
        <w:t>3 Incorporate non-surgical facial rejuvenation options into practice and be aware of potential pitfalls.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3.25</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Jackie R. Carrasco,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Bureau-Amgen - 02/05/2025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Alison Watson,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Peer Reviewer,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Rabinowitz,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Kareen Shebaclo,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charlotte marous,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Narmien Murdock,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Nina S Boal,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Willaim R Katowitz,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