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Glaucoma Update 2025: Point and Counterpoint, Novel and Interdisciplinary Glaucoma Management Considerations</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February 1,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February 1,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February 1,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"https://attendee.gotowebinar.com/register/6773017356350373216" </w:instrText>
      </w:r>
      <w:r>
        <w:rPr>
          <w:rtl w:val="0"/>
        </w:rPr>
        <w:fldChar w:fldCharType="separate"/>
      </w:r>
      <w:r>
        <w:rPr>
          <w:color w:val="0000FF"/>
          <w:sz w:val="36"/>
          <w:szCs w:val="36"/>
          <w:u w:val="single"/>
          <w:rtl w:val="0"/>
        </w:rPr>
        <w:t>Click Here to Register for the Livestream</w:t>
      </w:r>
      <w:r>
        <w:rPr>
          <w:rtl w:val="0"/>
        </w:rPr>
        <w:fldChar w:fldCharType="end"/>
      </w:r>
    </w:p>
    <w:p>
      <w:pPr>
        <w:bidi w:val="0"/>
        <w:spacing w:after="280" w:afterAutospacing="1"/>
        <w:rPr>
          <w:rtl w:val="0"/>
        </w:rPr>
      </w:pPr>
      <w:r>
        <w:rPr>
          <w:rtl w:val="0"/>
        </w:rPr>
        <w:t>We will discuss latest advances in the management of glaucoma and evidence for emerging therapies and screening modalities. Both point/counter-point and didactic formats will be utilized to illustrate current trends in the management of complex and routine glaucoma patients, taking into account novel techniques as well as interdisciplinary glaucoma management.</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Appropriately refer glaucoma patients in need of advanced treatment</w:instrText>
      </w:r>
    </w:p>
    <w:p w:rsidR="00AC209D" w:rsidRPr="00522A80">
      <w:pPr>
        <w:bidi w:val="0"/>
        <w:spacing w:after="280" w:afterAutospacing="1"/>
        <w:rPr>
          <w:bCs/>
          <w:iCs/>
          <w:sz w:val="22"/>
          <w:szCs w:val="22"/>
        </w:rPr>
      </w:pPr>
      <w:r w:rsidRPr="00522A80" w:rsidR="00522A80">
        <w:rPr>
          <w:bCs/>
          <w:iCs/>
          <w:sz w:val="22"/>
          <w:szCs w:val="22"/>
        </w:rPr>
        <w:instrText>2 Manage or refer patients with complex ocular pathology</w:instrText>
      </w:r>
    </w:p>
    <w:p w:rsidR="00AC209D" w:rsidRPr="00522A80">
      <w:pPr>
        <w:bidi w:val="0"/>
        <w:spacing w:after="280" w:afterAutospacing="1"/>
        <w:rPr>
          <w:bCs/>
          <w:iCs/>
          <w:sz w:val="22"/>
          <w:szCs w:val="22"/>
        </w:rPr>
      </w:pPr>
      <w:r w:rsidRPr="00522A80" w:rsidR="00522A80">
        <w:rPr>
          <w:bCs/>
          <w:iCs/>
          <w:sz w:val="22"/>
          <w:szCs w:val="22"/>
        </w:rPr>
        <w:instrText>3 Order and interpret glaucoma diagnostic tests</w:instrText>
      </w:r>
    </w:p>
    <w:p w:rsidR="00AC209D" w:rsidRPr="00522A80">
      <w:pPr>
        <w:bidi w:val="0"/>
        <w:spacing w:after="280" w:afterAutospacing="1"/>
        <w:rPr>
          <w:bCs/>
          <w:iCs/>
          <w:sz w:val="22"/>
          <w:szCs w:val="22"/>
        </w:rPr>
      </w:pPr>
      <w:r w:rsidRPr="00522A80" w:rsidR="00522A80">
        <w:rPr>
          <w:bCs/>
          <w:iCs/>
          <w:sz w:val="22"/>
          <w:szCs w:val="22"/>
        </w:rPr>
        <w:instrText>4 Evaluate and implement when appropriate new glaucoma surgical procedures</w:instrText>
      </w:r>
    </w:p>
    <w:p w:rsidR="00AC209D" w:rsidRPr="00522A80">
      <w:pPr>
        <w:bidi w:val="0"/>
        <w:spacing w:after="280" w:afterAutospacing="1"/>
        <w:rPr>
          <w:bCs/>
          <w:iCs/>
          <w:sz w:val="22"/>
          <w:szCs w:val="22"/>
        </w:rPr>
      </w:pPr>
      <w:r w:rsidRPr="00522A80" w:rsidR="00522A80">
        <w:rPr>
          <w:bCs/>
          <w:iCs/>
          <w:sz w:val="22"/>
          <w:szCs w:val="22"/>
        </w:rPr>
        <w:instrText>5 Improve practitioner self-care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Appropriately refer glaucoma patients in need of advanced treatment</w:instrText>
      </w:r>
    </w:p>
    <w:p w:rsidP="00412A04">
      <w:pPr>
        <w:ind w:left="446" w:right="331"/>
        <w:rPr>
          <w:bCs/>
          <w:iCs/>
          <w:sz w:val="22"/>
          <w:szCs w:val="22"/>
        </w:rPr>
      </w:pPr>
      <w:r>
        <w:rPr>
          <w:bCs/>
          <w:iCs/>
          <w:sz w:val="22"/>
          <w:szCs w:val="22"/>
        </w:rPr>
        <w:instrText>2 Manage or refer patients with complex ocular pathology</w:instrText>
      </w:r>
    </w:p>
    <w:p w:rsidP="00412A04">
      <w:pPr>
        <w:ind w:left="446" w:right="331"/>
        <w:rPr>
          <w:bCs/>
          <w:iCs/>
          <w:sz w:val="22"/>
          <w:szCs w:val="22"/>
        </w:rPr>
      </w:pPr>
      <w:r>
        <w:rPr>
          <w:bCs/>
          <w:iCs/>
          <w:sz w:val="22"/>
          <w:szCs w:val="22"/>
        </w:rPr>
        <w:instrText>3 Order and interpret glaucoma diagnostic tests</w:instrText>
      </w:r>
    </w:p>
    <w:p w:rsidP="00412A04">
      <w:pPr>
        <w:ind w:left="446" w:right="331"/>
        <w:rPr>
          <w:bCs/>
          <w:iCs/>
          <w:sz w:val="22"/>
          <w:szCs w:val="22"/>
        </w:rPr>
      </w:pPr>
      <w:r>
        <w:rPr>
          <w:bCs/>
          <w:iCs/>
          <w:sz w:val="22"/>
          <w:szCs w:val="22"/>
        </w:rPr>
        <w:instrText>4 Evaluate and implement when appropriate new glaucoma surgical procedures</w:instrText>
      </w:r>
    </w:p>
    <w:p w:rsidP="00412A04">
      <w:pPr>
        <w:ind w:left="446" w:right="331"/>
        <w:rPr>
          <w:bCs/>
          <w:iCs/>
          <w:sz w:val="22"/>
          <w:szCs w:val="22"/>
        </w:rPr>
      </w:pPr>
      <w:r>
        <w:rPr>
          <w:bCs/>
          <w:iCs/>
          <w:sz w:val="22"/>
          <w:szCs w:val="22"/>
        </w:rPr>
        <w:instrText>5 Improve practitioner self-care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Appropriately refer glaucoma patients in need of advanced treatment</w:t>
      </w:r>
    </w:p>
    <w:p w:rsidP="00412A04">
      <w:pPr>
        <w:ind w:left="446" w:right="331"/>
        <w:rPr>
          <w:bCs/>
          <w:iCs/>
          <w:sz w:val="22"/>
          <w:szCs w:val="22"/>
        </w:rPr>
      </w:pPr>
      <w:r>
        <w:rPr>
          <w:bCs/>
          <w:iCs/>
          <w:sz w:val="22"/>
          <w:szCs w:val="22"/>
        </w:rPr>
        <w:t>2 Manage or refer patients with complex ocular pathology</w:t>
      </w:r>
    </w:p>
    <w:p w:rsidP="00412A04">
      <w:pPr>
        <w:ind w:left="446" w:right="331"/>
        <w:rPr>
          <w:bCs/>
          <w:iCs/>
          <w:sz w:val="22"/>
          <w:szCs w:val="22"/>
        </w:rPr>
      </w:pPr>
      <w:r>
        <w:rPr>
          <w:bCs/>
          <w:iCs/>
          <w:sz w:val="22"/>
          <w:szCs w:val="22"/>
        </w:rPr>
        <w:t>3 Order and interpret glaucoma diagnostic tests</w:t>
      </w:r>
    </w:p>
    <w:p w:rsidP="00412A04">
      <w:pPr>
        <w:ind w:left="446" w:right="331"/>
        <w:rPr>
          <w:bCs/>
          <w:iCs/>
          <w:sz w:val="22"/>
          <w:szCs w:val="22"/>
        </w:rPr>
      </w:pPr>
      <w:r>
        <w:rPr>
          <w:bCs/>
          <w:iCs/>
          <w:sz w:val="22"/>
          <w:szCs w:val="22"/>
        </w:rPr>
        <w:t>4 Evaluate and implement when appropriate new glaucoma surgical procedures</w:t>
      </w:r>
    </w:p>
    <w:p w:rsidR="00AC209D" w:rsidRPr="00522A80" w:rsidP="00412A04">
      <w:pPr>
        <w:ind w:left="446" w:right="331"/>
        <w:rPr>
          <w:bCs/>
          <w:iCs/>
          <w:sz w:val="22"/>
          <w:szCs w:val="22"/>
        </w:rPr>
      </w:pPr>
      <w:r>
        <w:rPr>
          <w:bCs/>
          <w:iCs/>
          <w:sz w:val="22"/>
          <w:szCs w:val="22"/>
        </w:rPr>
        <w:t>5 Improve practitioner self-care</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3.50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Marisa Schoen,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Meera Sivalingam,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Reza Razeghinejad,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support-Olleyes|Grant or research support-Equinox (Relationship has ended)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Zheng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Jesse Richman,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Fee-Alcon|Royalties or Patent Beneficiary-Visionology|Membership on Advisory Committees or Review Panels, Board Membership, etc.-Visionology (Relationship has ended)|Paid consultant-Allergan (Relationship has ended)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Machen,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Investor-Elios Vision (Relationship has ended)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Flamendorf,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Williams,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Hock,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Xia,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Ping Huang,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Dilru C Amarasekera,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Peer Reviewer,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S Schuman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Fee-Zeiss|Advisor-Opticient|Advisor-AEYE Health|Consulting Fee-Alcon|Consulting Fee-Broadwing|Advisor-Ocugenix|Consulting Fee-Perfuse|Grant or research support-Perfuse (Relationship has ended)|Consulting Fee-Ocular Therpeutics|Public Corp Stock-Ocular Therapeutix|Consulting Fee-Dompé |Grant or research support-Topcon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Danijel J Pericic,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Pro,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Fee-Alcon|Consulting Fee-New World Medical - 01/06/2025</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