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Complicated Cataracts Cases: A Multi-Disciplinary Approach 2024</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November 16,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November 16, 2024</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November 16,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922320">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sz w:val="36"/>
          <w:szCs w:val="36"/>
          <w:rtl w:val="0"/>
        </w:rPr>
        <w:fldChar w:fldCharType="begin"/>
      </w:r>
      <w:r>
        <w:rPr>
          <w:sz w:val="36"/>
          <w:szCs w:val="36"/>
          <w:rtl w:val="0"/>
        </w:rPr>
        <w:instrText xml:space="preserve"> HYPERLINK "https://attendee.gotowebinar.com/register/1504806347705117526" </w:instrText>
      </w:r>
      <w:r>
        <w:rPr>
          <w:sz w:val="36"/>
          <w:szCs w:val="36"/>
          <w:rtl w:val="0"/>
        </w:rPr>
        <w:fldChar w:fldCharType="separate"/>
      </w:r>
      <w:r>
        <w:rPr>
          <w:color w:val="0000FF"/>
          <w:sz w:val="36"/>
          <w:szCs w:val="36"/>
          <w:u w:val="single"/>
          <w:rtl w:val="0"/>
        </w:rPr>
        <w:t>Click Here to Register for the Livestream!</w:t>
      </w:r>
      <w:r>
        <w:rPr>
          <w:sz w:val="36"/>
          <w:szCs w:val="36"/>
          <w:rtl w:val="0"/>
        </w:rPr>
        <w:fldChar w:fldCharType="end"/>
      </w:r>
    </w:p>
    <w:p>
      <w:pPr>
        <w:bidi w:val="0"/>
        <w:spacing w:after="280" w:afterAutospacing="1"/>
        <w:rPr>
          <w:rtl w:val="0"/>
        </w:rPr>
      </w:pPr>
      <w:r>
        <w:rPr>
          <w:sz w:val="24"/>
          <w:szCs w:val="24"/>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rtl w:val="0"/>
        </w:rPr>
      </w:pPr>
      <w:r>
        <w:rPr>
          <w:sz w:val="24"/>
          <w:szCs w:val="24"/>
          <w:rtl w:val="0"/>
        </w:rPr>
        <w:t>This conference will offer a deep dive into complicated cataract cases and their intersection with other ophthalmology specialties, specifically cornea, glaucoma, and retina.</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Evaluate newly available lens options</w:instrText>
      </w:r>
    </w:p>
    <w:p w:rsidR="00AC209D" w:rsidRPr="00522A80">
      <w:pPr>
        <w:bidi w:val="0"/>
        <w:spacing w:after="280" w:afterAutospacing="1"/>
        <w:rPr>
          <w:bCs/>
          <w:iCs/>
          <w:sz w:val="22"/>
          <w:szCs w:val="22"/>
        </w:rPr>
      </w:pPr>
      <w:r w:rsidRPr="00522A80" w:rsidR="00522A80">
        <w:rPr>
          <w:bCs/>
          <w:iCs/>
          <w:sz w:val="22"/>
          <w:szCs w:val="22"/>
        </w:rPr>
        <w:instrText>2 Implement the use of new technologies and devices in cataract care</w:instrText>
      </w:r>
    </w:p>
    <w:p w:rsidR="00AC209D" w:rsidRPr="00522A80">
      <w:pPr>
        <w:bidi w:val="0"/>
        <w:spacing w:after="280" w:afterAutospacing="1"/>
        <w:rPr>
          <w:bCs/>
          <w:iCs/>
          <w:sz w:val="22"/>
          <w:szCs w:val="22"/>
        </w:rPr>
      </w:pPr>
      <w:r w:rsidRPr="00522A80" w:rsidR="00522A80">
        <w:rPr>
          <w:bCs/>
          <w:iCs/>
          <w:sz w:val="22"/>
          <w:szCs w:val="22"/>
        </w:rPr>
        <w:instrText>3 Strategize care plans for complicated situations involving cataracts concurrent with glaucoma, corneal, and/or retinal issues</w:instrText>
      </w:r>
    </w:p>
    <w:p w:rsidR="00AC209D" w:rsidRPr="00522A80">
      <w:pPr>
        <w:bidi w:val="0"/>
        <w:spacing w:after="280" w:afterAutospacing="1"/>
        <w:rPr>
          <w:bCs/>
          <w:iCs/>
          <w:sz w:val="22"/>
          <w:szCs w:val="22"/>
        </w:rPr>
      </w:pPr>
      <w:r w:rsidRPr="00522A80" w:rsidR="00522A80">
        <w:rPr>
          <w:bCs/>
          <w:iCs/>
          <w:sz w:val="22"/>
          <w:szCs w:val="22"/>
        </w:rPr>
        <w:instrText>4 Educate patients on appropriate lens selection</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Evaluate newly available lens options</w:instrText>
      </w:r>
    </w:p>
    <w:p w:rsidP="00412A04">
      <w:pPr>
        <w:ind w:left="446" w:right="331"/>
        <w:rPr>
          <w:bCs/>
          <w:iCs/>
          <w:sz w:val="22"/>
          <w:szCs w:val="22"/>
        </w:rPr>
      </w:pPr>
      <w:r>
        <w:rPr>
          <w:bCs/>
          <w:iCs/>
          <w:sz w:val="22"/>
          <w:szCs w:val="22"/>
        </w:rPr>
        <w:instrText>2 Implement the use of new technologies and devices in cataract care</w:instrText>
      </w:r>
    </w:p>
    <w:p w:rsidP="00412A04">
      <w:pPr>
        <w:ind w:left="446" w:right="331"/>
        <w:rPr>
          <w:bCs/>
          <w:iCs/>
          <w:sz w:val="22"/>
          <w:szCs w:val="22"/>
        </w:rPr>
      </w:pPr>
      <w:r>
        <w:rPr>
          <w:bCs/>
          <w:iCs/>
          <w:sz w:val="22"/>
          <w:szCs w:val="22"/>
        </w:rPr>
        <w:instrText>3 Strategize care plans for complicated situations involving cataracts concurrent with glaucoma, corneal, and/or retinal issues</w:instrText>
      </w:r>
    </w:p>
    <w:p w:rsidP="00412A04">
      <w:pPr>
        <w:ind w:left="446" w:right="331"/>
        <w:rPr>
          <w:bCs/>
          <w:iCs/>
          <w:sz w:val="22"/>
          <w:szCs w:val="22"/>
        </w:rPr>
      </w:pPr>
      <w:r>
        <w:rPr>
          <w:bCs/>
          <w:iCs/>
          <w:sz w:val="22"/>
          <w:szCs w:val="22"/>
        </w:rPr>
        <w:instrText>4 Educate patients on appropriate lens selection</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Evaluate newly available lens options</w:t>
      </w:r>
    </w:p>
    <w:p w:rsidP="00412A04">
      <w:pPr>
        <w:ind w:left="446" w:right="331"/>
        <w:rPr>
          <w:bCs/>
          <w:iCs/>
          <w:sz w:val="22"/>
          <w:szCs w:val="22"/>
        </w:rPr>
      </w:pPr>
      <w:r>
        <w:rPr>
          <w:bCs/>
          <w:iCs/>
          <w:sz w:val="22"/>
          <w:szCs w:val="22"/>
        </w:rPr>
        <w:t>2 Implement the use of new technologies and devices in cataract care</w:t>
      </w:r>
    </w:p>
    <w:p w:rsidP="00412A04">
      <w:pPr>
        <w:ind w:left="446" w:right="331"/>
        <w:rPr>
          <w:bCs/>
          <w:iCs/>
          <w:sz w:val="22"/>
          <w:szCs w:val="22"/>
        </w:rPr>
      </w:pPr>
      <w:r>
        <w:rPr>
          <w:bCs/>
          <w:iCs/>
          <w:sz w:val="22"/>
          <w:szCs w:val="22"/>
        </w:rPr>
        <w:t>3 Strategize care plans for complicated situations involving cataracts concurrent with glaucoma, corneal, and/or retinal issues</w:t>
      </w:r>
    </w:p>
    <w:p w:rsidR="00AC209D" w:rsidRPr="00522A80" w:rsidP="00412A04">
      <w:pPr>
        <w:ind w:left="446" w:right="331"/>
        <w:rPr>
          <w:bCs/>
          <w:iCs/>
          <w:sz w:val="22"/>
          <w:szCs w:val="22"/>
        </w:rPr>
      </w:pPr>
      <w:r>
        <w:rPr>
          <w:bCs/>
          <w:iCs/>
          <w:sz w:val="22"/>
          <w:szCs w:val="22"/>
        </w:rPr>
        <w:t>4 Educate patients on appropriate lens selection</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3.25</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Ayan Chatterjee,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Honoraria-Alcon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Janine G Tabas,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Wisner,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Advisor-Zeiss|Advisor-Haag-Streit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Ravi Patel,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Bureau-Allergan|Speakers Bureau-Oyster Point Pharmaceuticals|Consulting Fee-Bio-Tissue|Consulting Fee-Johnson &amp; Johnson|Grant or research support-Ocular Therapeutix (Relationship has ended)|Consulting Fee-Kala Pharmaceuticals (Relationship has ended)|Consulting Fee-Bausch + Lomb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McGowan,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F Pyfer,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etc.-Johnson &amp; Johnson|Paid consultant-Johnson &amp; Johnson|Independent Contractor (included contracted research)-Sight Sciences (Relationship has ended)|Speakers Bureau-Sight Sciences|Speakers Bureau-Rayner Surgical|Independent Contractor (included contracted research)-Tarsus (Relationship has ended) - 08/09/2024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Drew Chronister,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Sieber,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Brett Weinstock,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Halfpenny,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Stephens,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Fee-Alcon|Speakers Bureau-Allergan|Speakers Bureau-Glaukos Corporation|Speakers Bureau-RxSight|Speakers Bureau-Lensar|Speakers Bureau-Ianterk - 11/16/2024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DiDomenico,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Fee-Santen Pharmaceuticals (Relationship has ended) - 10/17/2024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C Anhalt,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Williams,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Wong,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 Orlin,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etc.-Allergan (Relationship has ended)|Membership on Advisory Committees or Review Panels, Board Membership, etc.-Zeiss (Relationship has ended)|Membership on Advisory Committees or Review Panels, Board Membership, etc.-Genentech (Relationship has ended)|Membership on Advisory Committees or Review Panels, Board Membership, etc.-Apellis Pharmaceuticals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Deaner,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Fee-EyePoint Pharmaceuticals (Relationship has ended)|Consulting Fee-Alimera Sciences (Relationship has ended)|Consulting Fee-Genentech (Relationship has ended)|Consulting Fee-Bausch + Lomb (Relationship has ended)|Consulting Fee-Regeneron (Relationship has ended)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Alessandra K Intili,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