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Wills Eye Hospital Ophthalmology Review Course 2025</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February 22,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Wednesday, February 26,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February 22,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instrText>Wednesday, February 26, 2025</w:instrText>
      </w:r>
      <w:r w:rsidR="00677A88">
        <w:rPr>
          <w:b/>
          <w:bCs/>
          <w:szCs w:val="24"/>
        </w:rPr>
        <w:instrText xml:space="preserve">" "" </w:instrText>
      </w:r>
      <w:r w:rsidR="00677A88">
        <w:rPr>
          <w:b/>
          <w:bCs/>
          <w:szCs w:val="24"/>
        </w:rPr>
        <w:fldChar w:fldCharType="separate"/>
      </w:r>
      <w:r w:rsidR="00677A88">
        <w:rPr>
          <w:b/>
          <w:bCs/>
          <w:szCs w:val="24"/>
        </w:rPr>
        <w:t xml:space="preserve"> </w:t>
      </w:r>
      <w:r w:rsidRPr="00677A88" w:rsidR="00677A88">
        <w:rPr>
          <w:b/>
          <w:bCs/>
          <w:szCs w:val="24"/>
        </w:rPr>
        <w:t>—</w:t>
      </w:r>
      <w:r w:rsidR="00677A88">
        <w:rPr>
          <w:b/>
          <w:bCs/>
          <w:szCs w:val="24"/>
        </w:rPr>
        <w:t xml:space="preserve"> </w:t>
      </w:r>
      <w:r w:rsidR="00677A88">
        <w:rPr>
          <w:b/>
          <w:bCs/>
          <w:szCs w:val="24"/>
        </w:rPr>
        <w:t>Wednesday, February 26, 2025</w:t>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sz w:val="24"/>
          <w:szCs w:val="24"/>
          <w:rtl w:val="0"/>
        </w:rPr>
        <w:t>Course Director</w:t>
      </w:r>
    </w:p>
    <w:p>
      <w:pPr>
        <w:bidi w:val="0"/>
        <w:spacing w:after="280" w:afterAutospacing="1"/>
        <w:rPr>
          <w:rtl w:val="0"/>
        </w:rPr>
      </w:pPr>
      <w:r>
        <w:rPr>
          <w:rtl w:val="0"/>
        </w:rPr>
        <w:t>Ralph C. Eagle, Jr., MD</w:t>
      </w:r>
    </w:p>
    <w:p>
      <w:pPr>
        <w:bidi w:val="0"/>
        <w:spacing w:after="280" w:afterAutospacing="1"/>
        <w:rPr>
          <w:rtl w:val="0"/>
        </w:rPr>
      </w:pPr>
      <w:r>
        <w:rPr>
          <w:rtl w:val="0"/>
        </w:rPr>
        <w:t>Dates</w:t>
      </w:r>
      <w:r>
        <w:rPr>
          <w:rtl w:val="0"/>
        </w:rPr>
        <w:br/>
      </w:r>
      <w:r>
        <w:rPr>
          <w:rtl w:val="0"/>
        </w:rPr>
        <w:t>February 22-26, 2025</w:t>
      </w:r>
    </w:p>
    <w:p>
      <w:pPr>
        <w:bidi w:val="0"/>
        <w:spacing w:after="280" w:afterAutospacing="1"/>
        <w:rPr>
          <w:rtl w:val="0"/>
        </w:rPr>
      </w:pPr>
      <w:r>
        <w:rPr>
          <w:sz w:val="33"/>
          <w:szCs w:val="33"/>
          <w:rtl w:val="0"/>
        </w:rPr>
        <w:t>Location </w:t>
      </w:r>
      <w:r>
        <w:rPr>
          <w:sz w:val="33"/>
          <w:szCs w:val="33"/>
          <w:rtl w:val="0"/>
        </w:rPr>
        <w:br/>
      </w:r>
      <w:r>
        <w:rPr>
          <w:sz w:val="33"/>
          <w:szCs w:val="33"/>
          <w:rtl w:val="0"/>
        </w:rPr>
        <w:t>Wills Eye Hospital Auditorium,</w:t>
      </w:r>
      <w:r>
        <w:rPr>
          <w:sz w:val="33"/>
          <w:szCs w:val="33"/>
          <w:rtl w:val="0"/>
        </w:rPr>
        <w:br/>
      </w:r>
      <w:r>
        <w:rPr>
          <w:sz w:val="33"/>
          <w:szCs w:val="33"/>
          <w:rtl w:val="0"/>
        </w:rPr>
        <w:t>840 Walnut Street, 8th Floor, Philadelphia, PA 19107</w:t>
      </w:r>
    </w:p>
    <w:p>
      <w:pPr>
        <w:bidi w:val="0"/>
        <w:spacing w:after="280" w:afterAutospacing="1"/>
        <w:rPr>
          <w:rtl w:val="0"/>
        </w:rPr>
      </w:pPr>
      <w:r>
        <w:rPr>
          <w:rtl w:val="0"/>
        </w:rPr>
        <w:t>This live in-person course is a comprehensive and intensive review of ophthalmology for practicing ophthalmologists and ophthalmology residents and fellows. Topics taught by our world-renowned faculty range from anatomy, corneal diseases, eyelid, glaucoma, imaging, immunology, neuro-ophthalmology, oncology, orbit, ocular pathology, pediatrics, pharmacology, physiology, optics and refraction, and retina.</w:t>
      </w:r>
    </w:p>
    <w:p>
      <w:pPr>
        <w:bidi w:val="0"/>
        <w:spacing w:after="280" w:afterAutospacing="1"/>
        <w:rPr>
          <w:rtl w:val="0"/>
        </w:rPr>
      </w:pPr>
      <w:r>
        <w:rPr>
          <w:rtl w:val="0"/>
        </w:rPr>
        <w:t>Guest Faculty</w:t>
      </w:r>
      <w:r>
        <w:rPr>
          <w:rtl w:val="0"/>
        </w:rPr>
        <w:br/>
      </w:r>
      <w:r>
        <w:rPr>
          <w:rtl w:val="0"/>
        </w:rPr>
        <w:t>David L. Guyton, MD, Professor of Ophthalmology,</w:t>
      </w:r>
      <w:r>
        <w:rPr>
          <w:rtl w:val="0"/>
        </w:rPr>
        <w:br/>
      </w:r>
      <w:r>
        <w:rPr>
          <w:rtl w:val="0"/>
        </w:rPr>
        <w:t>The Wilmer Ophthalmological Institute, Johns Hopkins University,</w:t>
      </w:r>
      <w:r>
        <w:rPr>
          <w:rtl w:val="0"/>
        </w:rPr>
        <w:br/>
      </w:r>
      <w:r>
        <w:rPr>
          <w:rtl w:val="0"/>
        </w:rPr>
        <w:t>Baltimore, MD</w:t>
      </w:r>
    </w:p>
    <w:p>
      <w:pPr>
        <w:bidi w:val="0"/>
        <w:spacing w:after="280" w:afterAutospacing="1"/>
        <w:rPr>
          <w:rtl w:val="0"/>
        </w:rPr>
      </w:pPr>
      <w:r>
        <w:rPr>
          <w:rtl w:val="0"/>
        </w:rPr>
        <w:t>Kristina Irsch, PhD, Assistant Professor of Ophthalmology,</w:t>
      </w:r>
      <w:r>
        <w:rPr>
          <w:rtl w:val="0"/>
        </w:rPr>
        <w:br/>
      </w:r>
      <w:r>
        <w:rPr>
          <w:rtl w:val="0"/>
        </w:rPr>
        <w:t>The Wilmer Ophthalmological Institute, Johns Hopkins University,</w:t>
      </w:r>
      <w:r>
        <w:rPr>
          <w:rtl w:val="0"/>
        </w:rPr>
        <w:br/>
      </w:r>
      <w:r>
        <w:rPr>
          <w:rtl w:val="0"/>
        </w:rPr>
        <w:t>Baltimore, MD</w:t>
      </w:r>
    </w:p>
    <w:p>
      <w:pPr>
        <w:bidi w:val="0"/>
        <w:spacing w:after="280" w:afterAutospacing="1"/>
        <w:rPr>
          <w:rtl w:val="0"/>
        </w:rPr>
      </w:pPr>
      <w:r>
        <w:rPr>
          <w:rtl w:val="0"/>
        </w:rPr>
        <w:t>Rod Foroozan, MD, Professor of Neuro-ophthalmology,</w:t>
      </w:r>
      <w:r>
        <w:rPr>
          <w:rtl w:val="0"/>
        </w:rPr>
        <w:br/>
      </w:r>
      <w:r>
        <w:rPr>
          <w:sz w:val="24"/>
          <w:szCs w:val="24"/>
          <w:rtl w:val="0"/>
        </w:rPr>
        <w:t>Baylor College of Medicine,</w:t>
      </w:r>
      <w:r>
        <w:rPr>
          <w:sz w:val="24"/>
          <w:szCs w:val="24"/>
          <w:rtl w:val="0"/>
        </w:rPr>
        <w:br/>
      </w:r>
      <w:r>
        <w:rPr>
          <w:sz w:val="24"/>
          <w:szCs w:val="24"/>
          <w:rtl w:val="0"/>
        </w:rPr>
        <w:t>Houston, TX</w:t>
      </w:r>
    </w:p>
    <w:p>
      <w:pPr>
        <w:bidi w:val="0"/>
        <w:spacing w:after="280" w:afterAutospacing="1"/>
        <w:rPr>
          <w:rtl w:val="0"/>
        </w:rPr>
      </w:pPr>
      <w:r>
        <w:rPr>
          <w:rtl w:val="0"/>
        </w:rPr>
        <w:t xml:space="preserve">Hermann D. Schubert, MD, Professor of Clinical Ophthalmology and Pathology, </w:t>
      </w:r>
      <w:r>
        <w:rPr>
          <w:rtl w:val="0"/>
        </w:rPr>
        <w:br/>
      </w:r>
      <w:r>
        <w:rPr>
          <w:rtl w:val="0"/>
        </w:rPr>
        <w:t xml:space="preserve">Columbia University, </w:t>
      </w:r>
      <w:r>
        <w:rPr>
          <w:rtl w:val="0"/>
        </w:rPr>
        <w:br/>
      </w:r>
      <w:r>
        <w:rPr>
          <w:rtl w:val="0"/>
        </w:rPr>
        <w:t>New York, NY</w:t>
      </w:r>
    </w:p>
    <w:p>
      <w:pPr>
        <w:bidi w:val="0"/>
        <w:spacing w:after="280" w:afterAutospacing="1"/>
        <w:rPr>
          <w:rtl w:val="0"/>
        </w:rPr>
      </w:pPr>
      <w:r>
        <w:rPr>
          <w:rtl w:val="0"/>
        </w:rPr>
        <w:br/>
      </w:r>
      <w:r>
        <w:rPr>
          <w:rtl w:val="0"/>
        </w:rPr>
        <w:t>Wills Eye Hospital Faculty </w:t>
      </w:r>
      <w:r>
        <w:rPr>
          <w:rtl w:val="0"/>
        </w:rPr>
        <w:br/>
      </w:r>
      <w:r>
        <w:rPr>
          <w:rtl w:val="0"/>
        </w:rPr>
        <w:t>Jurij R. Bilyk, MD, Attending Surgeon, Oculoplastic Service</w:t>
      </w:r>
    </w:p>
    <w:p>
      <w:pPr>
        <w:bidi w:val="0"/>
        <w:spacing w:after="280" w:afterAutospacing="1"/>
        <w:rPr>
          <w:rtl w:val="0"/>
        </w:rPr>
      </w:pPr>
      <w:r>
        <w:rPr>
          <w:rtl w:val="0"/>
        </w:rPr>
        <w:t>Jacqueline Carrasco, MD, Attending Surgeon, Oculoplastic &amp; Orbital Surgery</w:t>
      </w:r>
    </w:p>
    <w:p>
      <w:pPr>
        <w:bidi w:val="0"/>
        <w:spacing w:after="280" w:afterAutospacing="1"/>
        <w:rPr>
          <w:rtl w:val="0"/>
        </w:rPr>
      </w:pPr>
      <w:r>
        <w:rPr>
          <w:rtl w:val="0"/>
        </w:rPr>
        <w:t>Ralph C. Eagle, Jr., MD, Service Chief, Department of Pathology</w:t>
      </w:r>
    </w:p>
    <w:p>
      <w:pPr>
        <w:bidi w:val="0"/>
        <w:spacing w:after="280" w:afterAutospacing="1"/>
        <w:rPr>
          <w:rtl w:val="0"/>
        </w:rPr>
      </w:pPr>
      <w:r>
        <w:rPr>
          <w:rtl w:val="0"/>
        </w:rPr>
        <w:t>Mitchell S. Fineman, MD, Attending Surgeon, Retina Service</w:t>
      </w:r>
    </w:p>
    <w:p>
      <w:pPr>
        <w:bidi w:val="0"/>
        <w:spacing w:after="280" w:afterAutospacing="1"/>
        <w:rPr>
          <w:rtl w:val="0"/>
        </w:rPr>
      </w:pPr>
      <w:r>
        <w:rPr>
          <w:rtl w:val="0"/>
        </w:rPr>
        <w:t>Jordan D. Deaner, MD, Attending Surgeon, Retina Service</w:t>
      </w:r>
    </w:p>
    <w:p>
      <w:pPr>
        <w:bidi w:val="0"/>
        <w:spacing w:after="280" w:afterAutospacing="1"/>
        <w:rPr>
          <w:rtl w:val="0"/>
        </w:rPr>
      </w:pPr>
      <w:r>
        <w:rPr>
          <w:rtl w:val="0"/>
        </w:rPr>
        <w:t>Lauren Hock, MD, Attending Surgeon, Glaucoma Service</w:t>
      </w:r>
    </w:p>
    <w:p>
      <w:pPr>
        <w:bidi w:val="0"/>
        <w:spacing w:after="280" w:afterAutospacing="1"/>
        <w:rPr>
          <w:rtl w:val="0"/>
        </w:rPr>
      </w:pPr>
      <w:r>
        <w:rPr>
          <w:rtl w:val="0"/>
        </w:rPr>
        <w:t>Aditya Kanesa-thasan, MD, Attending Surgeon, Cornea and Cataract Surgery</w:t>
      </w:r>
    </w:p>
    <w:p>
      <w:pPr>
        <w:bidi w:val="0"/>
        <w:spacing w:after="280" w:afterAutospacing="1"/>
        <w:rPr>
          <w:rtl w:val="0"/>
        </w:rPr>
      </w:pPr>
      <w:r>
        <w:rPr>
          <w:rtl w:val="0"/>
        </w:rPr>
        <w:t>Michael A. Klufas, MD, Attending Surgeon, Retina Service</w:t>
      </w:r>
    </w:p>
    <w:p>
      <w:pPr>
        <w:bidi w:val="0"/>
        <w:spacing w:after="280" w:afterAutospacing="1"/>
        <w:rPr>
          <w:rtl w:val="0"/>
        </w:rPr>
      </w:pPr>
      <w:r>
        <w:rPr>
          <w:rtl w:val="0"/>
        </w:rPr>
        <w:t>Daniel Lee, MD, Attending Surgeon, Glaucoma Service</w:t>
      </w:r>
    </w:p>
    <w:p>
      <w:pPr>
        <w:bidi w:val="0"/>
        <w:spacing w:after="280" w:afterAutospacing="1"/>
        <w:rPr>
          <w:rtl w:val="0"/>
        </w:rPr>
      </w:pPr>
      <w:r>
        <w:rPr>
          <w:rtl w:val="0"/>
        </w:rPr>
        <w:t>Jonathan S. Myers, MD, Service Chief, Glaucoma Service</w:t>
      </w:r>
    </w:p>
    <w:p>
      <w:pPr>
        <w:bidi w:val="0"/>
        <w:spacing w:after="280" w:afterAutospacing="1"/>
        <w:rPr>
          <w:rtl w:val="0"/>
        </w:rPr>
      </w:pPr>
      <w:r>
        <w:rPr>
          <w:rtl w:val="0"/>
        </w:rPr>
        <w:t>Bruce M. Schnall, MD, Attending Surgeon, Adult and Pediatric Strabismus</w:t>
      </w:r>
    </w:p>
    <w:p>
      <w:pPr>
        <w:bidi w:val="0"/>
        <w:spacing w:after="280" w:afterAutospacing="1"/>
        <w:rPr>
          <w:rtl w:val="0"/>
        </w:rPr>
      </w:pPr>
      <w:r>
        <w:rPr>
          <w:rtl w:val="0"/>
        </w:rPr>
        <w:t>Carol L. Shields, MD, Service Chief, Oncology Service</w:t>
      </w:r>
    </w:p>
    <w:p>
      <w:pPr>
        <w:bidi w:val="0"/>
        <w:spacing w:after="280" w:afterAutospacing="1"/>
        <w:rPr>
          <w:rtl w:val="0"/>
        </w:rPr>
      </w:pPr>
      <w:r>
        <w:rPr>
          <w:rtl w:val="0"/>
        </w:rPr>
        <w:t>Zeba A. Syed, MD, Attending Surgeon, Cornea Service</w:t>
      </w:r>
    </w:p>
    <w:p>
      <w:pPr>
        <w:bidi w:val="0"/>
        <w:spacing w:after="280" w:afterAutospacing="1"/>
        <w:rPr>
          <w:rtl w:val="0"/>
        </w:rPr>
      </w:pPr>
      <w:r>
        <w:rPr>
          <w:rtl w:val="0"/>
        </w:rPr>
        <w:t>Barry N. Wasserman, MD, Attending Surgeon, Pediatric Ophthalmology Service</w:t>
      </w:r>
    </w:p>
    <w:p>
      <w:pPr>
        <w:bidi w:val="0"/>
        <w:spacing w:after="280" w:afterAutospacing="1"/>
        <w:rPr>
          <w:rtl w:val="0"/>
        </w:rPr>
      </w:pPr>
      <w:r>
        <w:rPr>
          <w:rtl w:val="0"/>
        </w:rPr>
        <w:br/>
      </w:r>
      <w:r>
        <w:rPr>
          <w:rtl w:val="0"/>
        </w:rPr>
        <w:br/>
      </w:r>
      <w:r>
        <w:rPr>
          <w:rtl w:val="0"/>
        </w:rPr>
        <w:t>This activity has been approved for AMA PRA Category 1 Credit™</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Provide a comprehensive review of topics in ophthalmology including: Optics and Refraction; Antomy and Embryology; Retina and Vitreous; Ocular Pathology; Orbit, Eyelid and Lacrimal System; Pharmacology and Therapeutics; Ocular Tumors; Neuro-Ophthalmology; Corneal and External Diseases; Uveitis and AIDS; Glaucoma; Pediatric Ophthalmology and Strabismus; CT and MRI Imaging of Eye and Orbit.</w:instrText>
      </w:r>
    </w:p>
    <w:p w:rsidR="00AC209D" w:rsidRPr="00522A80">
      <w:pPr>
        <w:bidi w:val="0"/>
        <w:spacing w:after="280" w:afterAutospacing="1"/>
        <w:rPr>
          <w:bCs/>
          <w:iCs/>
          <w:sz w:val="22"/>
          <w:szCs w:val="22"/>
        </w:rPr>
      </w:pPr>
      <w:r w:rsidRPr="00522A80" w:rsidR="00522A80">
        <w:rPr>
          <w:bCs/>
          <w:iCs/>
          <w:sz w:val="22"/>
          <w:szCs w:val="22"/>
        </w:rPr>
        <w:instrText>2 Better understand the pathophysiology of most ophthalmic disease.</w:instrText>
      </w:r>
    </w:p>
    <w:p w:rsidR="00AC209D" w:rsidRPr="00522A80">
      <w:pPr>
        <w:bidi w:val="0"/>
        <w:spacing w:after="280" w:afterAutospacing="1"/>
        <w:rPr>
          <w:bCs/>
          <w:iCs/>
          <w:sz w:val="22"/>
          <w:szCs w:val="22"/>
        </w:rPr>
      </w:pPr>
      <w:r w:rsidRPr="00522A80" w:rsidR="00522A80">
        <w:rPr>
          <w:bCs/>
          <w:iCs/>
          <w:sz w:val="22"/>
          <w:szCs w:val="22"/>
        </w:rPr>
        <w:instrText>3 Perform appropriate diagnostic tests and differential diagnosis for most ophthalmic diseases.</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Provide a comprehensive review of topics in ophthalmology including: Optics and Refraction; Antomy and Embryology; Retina and Vitreous; Ocular Pathology; Orbit, Eyelid and Lacrimal System; Pharmacology and Therapeutics; Ocular Tumors; Neuro-Ophthalmology; Corneal and External Diseases; Uveitis and AIDS; Glaucoma; Pediatric Ophthalmology and Strabismus; CT and MRI Imaging of Eye and Orbit.</w:instrText>
      </w:r>
    </w:p>
    <w:p w:rsidP="00412A04">
      <w:pPr>
        <w:ind w:left="446" w:right="331"/>
        <w:rPr>
          <w:bCs/>
          <w:iCs/>
          <w:sz w:val="22"/>
          <w:szCs w:val="22"/>
        </w:rPr>
      </w:pPr>
      <w:r>
        <w:rPr>
          <w:bCs/>
          <w:iCs/>
          <w:sz w:val="22"/>
          <w:szCs w:val="22"/>
        </w:rPr>
        <w:instrText>2 Better understand the pathophysiology of most ophthalmic disease.</w:instrText>
      </w:r>
    </w:p>
    <w:p w:rsidP="00412A04">
      <w:pPr>
        <w:ind w:left="446" w:right="331"/>
        <w:rPr>
          <w:bCs/>
          <w:iCs/>
          <w:sz w:val="22"/>
          <w:szCs w:val="22"/>
        </w:rPr>
      </w:pPr>
      <w:r>
        <w:rPr>
          <w:bCs/>
          <w:iCs/>
          <w:sz w:val="22"/>
          <w:szCs w:val="22"/>
        </w:rPr>
        <w:instrText>3 Perform appropriate diagnostic tests and differential diagnosis for most ophthalmic diseases.</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Provide a comprehensive review of topics in ophthalmology including: Optics and Refraction; Antomy and Embryology; Retina and Vitreous; Ocular Pathology; Orbit, Eyelid and Lacrimal System; Pharmacology and Therapeutics; Ocular Tumors; Neuro-Ophthalmology; Corneal and External Diseases; Uveitis and AIDS; Glaucoma; Pediatric Ophthalmology and Strabismus; CT and MRI Imaging of Eye and Orbit.</w:t>
      </w:r>
    </w:p>
    <w:p w:rsidP="00412A04">
      <w:pPr>
        <w:ind w:left="446" w:right="331"/>
        <w:rPr>
          <w:bCs/>
          <w:iCs/>
          <w:sz w:val="22"/>
          <w:szCs w:val="22"/>
        </w:rPr>
      </w:pPr>
      <w:r>
        <w:rPr>
          <w:bCs/>
          <w:iCs/>
          <w:sz w:val="22"/>
          <w:szCs w:val="22"/>
        </w:rPr>
        <w:t>2 Better understand the pathophysiology of most ophthalmic disease.</w:t>
      </w:r>
    </w:p>
    <w:p w:rsidR="00AC209D" w:rsidRPr="00522A80" w:rsidP="00412A04">
      <w:pPr>
        <w:ind w:left="446" w:right="331"/>
        <w:rPr>
          <w:bCs/>
          <w:iCs/>
          <w:sz w:val="22"/>
          <w:szCs w:val="22"/>
        </w:rPr>
      </w:pPr>
      <w:r>
        <w:rPr>
          <w:bCs/>
          <w:iCs/>
          <w:sz w:val="22"/>
          <w:szCs w:val="22"/>
        </w:rPr>
        <w:t>3 Perform appropriate diagnostic tests and differential diagnosis for most ophthalmic diseases.</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45.50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Jurij R. Bilyk,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Jackie R. Carrasco,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Bureau-Amgen - 02/05/2025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L. Guyton,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support-Rebion, Inc. (Relationship has ended)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support-Allergan (Relationship has ended)|Grant or research support-Equinox (Relationship has ended)|Grant or research support-Glaukos Corporation (Relationship has ended)|Grant or research support-Mati (Relationship has ended)|Grant or research support-New World Medical (Relationship has ended)|Grant or research support-Nicox (Relationship has ended)|Grant or research support-Olleyes (Relationship has ended)|Consulting Fee-Quidel (Relationship has ended)|Grant or research support-Santen Pharmaceuticals (Relationship has ended)|Grant or research support-Ocular Therapeutix (Relationship has ended) - 01/07/2025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S. Myers,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funds-Avisi|Stocks or stock options, excluding diversified mutual funds-Olleyes|Grant or research support-Allergan (Relationship has ended)|Grant or research support-Glaukos Corporation|Grant or research support-Nicox (Relationship has ended)|Grant or research support-Santen Pharmaceuticals (Relationship has ended)|Grant or research support-Guardian (Relationship has ended)|Grant or research support-Laboratories Thea Inc|Grant or research support-Ocular Therapeutix (Relationship has ended)|Grant or research support-Elios|Grant or research support-PLU Ophthalmic - 12/09/2024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 L. Shields,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etc.-Aura Biosciences|Membership on Advisory Committees or Review Panels, Board Membership, etc.-Immunocore, Inc.|Membership on Advisory Committees or Review Panels, Board Membership, etc.-Ideaya Biosciences, Inc.|Membership on Advisory Committees or Review Panels, Board Membership, etc.-iOnctura, Inc. - 01/16/2025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Hermann D. Schubert,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Barry N. Wasserman,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M. Schnall,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Aditya Kanesa-thasan,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Hadjokas,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research)-RxSight|Consulting Fee-Glaukos Corporation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Mitchell Fineman,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Hock,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Kristina 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Garrigan,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Klufas,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Fee-REGENXBIO, Inc.|Consulting Fee-Genentech|Consulting Fee-Regeneron|Honoraria-Coherus (Relationship has ended)|Honoraria-Biogen (Relationship has ended)|Consulting Fee-Abbvie|Grant or research support-Bausch + Lomb|Consulting Fee-Dutch Ophthalmic USA|Consulting Fee-Alimera Sciences - 11/29/2024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Deaner,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Fee-EyePoint Pharmaceuticals (Relationship has ended)|Consulting Fee-Alimera Sciences (Relationship has ended)|Consulting Fee-Genentech (Relationship has ended)|Consulting Fee-Bausch + Lomb (Relationship has ended)|Consulting Fee-Regeneron (Relationship has ended) - 12/20/2024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Kim,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Rod Foroozan,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 Calotti,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