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Anterior Segment Surgery Update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March 16,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March 16,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March 16,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D26E72">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D26E72"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D26E72"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30"/>
          <w:szCs w:val="30"/>
          <w:u w:val="single"/>
          <w:rtl w:val="0"/>
        </w:rPr>
        <w:fldChar w:fldCharType="begin"/>
      </w:r>
      <w:r>
        <w:rPr>
          <w:sz w:val="30"/>
          <w:szCs w:val="30"/>
          <w:u w:val="single"/>
          <w:rtl w:val="0"/>
        </w:rPr>
        <w:instrText xml:space="preserve"> HYPERLINK "https://attendee.gotowebinar.com/register/3787369390277133912"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D26E72">
      <w:pPr>
        <w:bidi w:val="0"/>
        <w:spacing w:after="280" w:afterAutospacing="1"/>
        <w:rPr>
          <w:bCs/>
          <w:iCs/>
          <w:noProof/>
        </w:rPr>
      </w:pPr>
      <w:r>
        <w:rPr>
          <w:sz w:val="30"/>
          <w:szCs w:val="30"/>
          <w:u w:val="single"/>
          <w:rtl w:val="0"/>
        </w:rPr>
        <w:fldChar w:fldCharType="begin"/>
      </w:r>
      <w:r>
        <w:rPr>
          <w:sz w:val="30"/>
          <w:szCs w:val="30"/>
          <w:u w:val="single"/>
          <w:rtl w:val="0"/>
        </w:rPr>
        <w:instrText xml:space="preserve"> HYPERLINK "https://attendee.gotowebinar.com/register/3787369390277133912"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00D26E72">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26E72">
      <w:pPr>
        <w:bidi w:val="0"/>
        <w:spacing w:after="280" w:afterAutospacing="1"/>
        <w:rPr>
          <w:bCs/>
          <w:iCs/>
          <w:noProof/>
        </w:rPr>
      </w:pPr>
      <w:r>
        <w:rPr>
          <w:color w:val="0000FF"/>
          <w:sz w:val="30"/>
          <w:szCs w:val="30"/>
          <w:u w:val="single"/>
          <w:rtl w:val="0"/>
        </w:rPr>
        <w:t>Click Here to Register for the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glaucoma.</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 xml:space="preserve">3 Assess the role of new technologies in the surgical treatment of the anterior segment including cataracts and glaucoma. </w:instrText>
      </w:r>
    </w:p>
    <w:p w:rsidR="00AC209D" w:rsidRPr="00522A80">
      <w:pPr>
        <w:bidi w:val="0"/>
        <w:spacing w:after="280" w:afterAutospacing="1"/>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efficient and high-quality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D26E72" w:rsidP="000B10C9">
      <w:pPr>
        <w:ind w:left="450" w:right="324"/>
        <w:rPr>
          <w:bCs/>
          <w:iCs/>
          <w:noProof/>
          <w:sz w:val="22"/>
          <w:szCs w:val="22"/>
        </w:rPr>
      </w:pPr>
      <w:r>
        <w:rPr>
          <w:bCs/>
          <w:iCs/>
          <w:sz w:val="22"/>
          <w:szCs w:val="22"/>
        </w:rPr>
        <w:instrText>1 Discuss important new advances in the etiologies, diagnosis, and treatment/prevention of glaucoma.</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 xml:space="preserve">3 Assess the role of new technologies in the surgical treatment of the anterior segment including cataracts and glaucoma. </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efficient and high-quality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D26E72" w:rsidP="000B10C9">
      <w:pPr>
        <w:ind w:left="450" w:right="324"/>
        <w:rPr>
          <w:bCs/>
          <w:iCs/>
          <w:noProof/>
          <w:sz w:val="22"/>
          <w:szCs w:val="22"/>
        </w:rPr>
      </w:pPr>
      <w:r>
        <w:rPr>
          <w:bCs/>
          <w:iCs/>
          <w:sz w:val="22"/>
          <w:szCs w:val="22"/>
        </w:rPr>
        <w:t>1 Discuss important new advances in the etiologies, diagnosis, and treatment/prevention of glaucoma.</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 xml:space="preserve">3 Assess the role of new technologies in the surgical treatment of the anterior segment including cataracts and glaucoma. </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efficient and high-quality care</w:t>
      </w:r>
      <w:r w:rsidRPr="00522A80">
        <w:rPr>
          <w:bCs/>
          <w:iCs/>
          <w:sz w:val="22"/>
          <w:szCs w:val="22"/>
        </w:rPr>
        <w:fldChar w:fldCharType="end"/>
      </w:r>
    </w:p>
    <w:p w:rsidR="002C184B" w:rsidP="00555DB6">
      <w:pPr>
        <w:ind w:left="450" w:right="288"/>
        <w:rPr>
          <w:sz w:val="22"/>
          <w:szCs w:val="22"/>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sz w:val="22"/>
          <w:szCs w:val="22"/>
        </w:rPr>
        <w:t>Live Activity</w:t>
      </w:r>
      <w:r w:rsidRPr="00806477">
        <w:rPr>
          <w:sz w:val="22"/>
          <w:szCs w:val="22"/>
        </w:rPr>
        <w:t xml:space="preserve"> for a maximum of </w:t>
      </w:r>
      <w:r w:rsidR="00D26E72">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Marisa Schoen,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Reza Razeghinejad,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support-Olleyes|Grant or research support-Equinox (Relationship has ended) - 02/29/2024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Beeran Meghpara,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Fee-Sun Pharmaceutical Industries|Consulting Fee-Glaukos Corporation|Consulting Fee-Johnson &amp; Johnson|Consulting Fee-Santen Pharmaceuticals|Consulting Fee-Kala Pharmaceuticals|Consulting Fee-OCULUS Surgical, Inc.|Consulting Fee-Allergan|Consulting Fee-Sight Sciences|Consulting Fee-Dompé |Consulting Fee-Zeiss|Consulting Fee-Bio-Tissue|Consulting Fee-Tarsus|Consulting Fee-Thea|Consulting Fee-Centricity|Consulting Fee-Orasis|Consulting Fee-WL Gore &amp; Associates - 02/06/2024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Brenton D. Finklea,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 - 03/14/2024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Wisner,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Advisor-Zeiss|Advisor-Haag-Streit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D. Ayres,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Fee-Allergan|Consulting Fee-Bausch + Lomb|Consulting Fee-Sun Pharmaceutical Industries|Consulting Fee-Novartis|Consulting Fee-Dompé  - 04/20/2023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Sadeer B. Hannush,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Fee-Kowa, Inc - 03/08/2024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F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etc.-Johnson &amp; Johnson|Paid consultant-Johnson &amp; Johnson|Independent Contractor (included contracted research)-Sight Sciences (Relationship has ended)|Speakers Bureau-Sight Sciences|Speakers Bureau-Rayner Surgical|Independent Contractor (included contracted research)-Tarsus (Relationship has ended)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Dale,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Fee-Sight Sciences - 01/12/2024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Sieber,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Peer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Brett Weinstock,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Peer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C Anhalt,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Harris,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Nicholas Hadjokas,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Michelson,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Peer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 McMahon,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Peer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Dilru C Amarasekera,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F3738C">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Bogner, Mark</cp:lastModifiedBy>
  <cp:revision>6</cp:revision>
  <cp:lastPrinted>2015-01-15T13:54:00Z</cp:lastPrinted>
  <dcterms:created xsi:type="dcterms:W3CDTF">2021-03-05T14:21:00Z</dcterms:created>
  <dcterms:modified xsi:type="dcterms:W3CDTF">2024-03-27T19:39:00Z</dcterms:modified>
</cp:coreProperties>
</file>