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Oculofacial Cosmetic Eyelid and Face Update: Creating Facial Harmony</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May 13,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May 13,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May 13,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54"/>
          <w:szCs w:val="54"/>
          <w:rtl w:val="0"/>
        </w:rPr>
        <w:fldChar w:fldCharType="begin"/>
      </w:r>
      <w:r>
        <w:rPr>
          <w:sz w:val="54"/>
          <w:szCs w:val="54"/>
          <w:rtl w:val="0"/>
        </w:rPr>
        <w:instrText xml:space="preserve"> HYPERLINK "https://attendee.gotowebinar.com/register/84791465807073376"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This conference will focus on periocular and facial aesthetics to broaden and deepen the knowledge of comprehensive ophthalmologist and oculoplastic surgeons alike.</w:instrText>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54"/>
          <w:szCs w:val="54"/>
          <w:rtl w:val="0"/>
        </w:rPr>
        <w:fldChar w:fldCharType="begin"/>
      </w:r>
      <w:r>
        <w:rPr>
          <w:sz w:val="54"/>
          <w:szCs w:val="54"/>
          <w:rtl w:val="0"/>
        </w:rPr>
        <w:instrText xml:space="preserve"> HYPERLINK "https://attendee.gotowebinar.com/register/84791465807073376"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This conference will focus on periocular and facial aesthetics to broaden and deepen the knowledge of comprehensive ophthalmologist and oculoplastic surgeons alike.</w:instrText>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54"/>
          <w:szCs w:val="54"/>
          <w:u w:val="single"/>
          <w:rtl w:val="0"/>
        </w:rPr>
        <w:t>Register for Livestream Reminders Here!</w:t>
      </w:r>
    </w:p>
    <w:p>
      <w:pPr>
        <w:bidi w:val="0"/>
        <w:spacing w:after="280" w:afterAutospacing="1"/>
        <w:rPr>
          <w:rtl w:val="0"/>
        </w:rPr>
      </w:pPr>
      <w:r>
        <w:rPr>
          <w:rtl w:val="0"/>
        </w:rPr>
        <w:t>This conference will focus on periocular and facial aesthetics to broaden and deepen the knowledge of comprehensive ophthalmologist and oculoplastic surgeons alike.</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eye diseases.</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eye diseases.</w:instrText>
      </w:r>
    </w:p>
    <w:p w:rsidR="00AC209D" w:rsidRPr="00522A80">
      <w:pPr>
        <w:bidi w:val="0"/>
        <w:spacing w:after="280" w:afterAutospacing="1"/>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eye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eye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4.00</w:t>
      </w:r>
      <w:r w:rsidRPr="00806477">
        <w:rPr>
          <w:sz w:val="22"/>
          <w:szCs w:val="22"/>
        </w:rPr>
        <w:t xml:space="preserve">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Edward H Bedrossian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Therapeutics|Consulting Fee-RVL Pharmaceuticals, Inc.|Consulting Fee-PRN - 03/20/2023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Tina Ho,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Kenneth Morgenstern,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Sathyadeepak Ramesh,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Fee-Horizon Therapeutics - 01/09/2023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Kareen Shebaclo,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Jan P. Ulloa,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Jackie R. Carrasco,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Therapeutics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Alison Watson,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Advisor-Horizon Therapeutics (Relationship has ended) - 11/19/2022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