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Fall Cornea Update - Feat. the Peter R. Laibson, MD Endowed Lecture (10/29/2022 @ 8 a.m. ET)</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October 29, 2022</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Saturday, October 29, 2022</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October 29, 2022</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fldChar w:fldCharType="begin"/>
      </w:r>
      <w:r w:rsidR="00677A88">
        <w:rPr>
          <w:b/>
          <w:bCs/>
          <w:szCs w:val="24"/>
        </w:rPr>
        <w:instrText xml:space="preserve"> MERGEFIELD EndTime \@ "dddd, MMMM d, yyyy" </w:instrText>
      </w:r>
      <w:r w:rsidR="00677A88">
        <w:rPr>
          <w:b/>
          <w:bCs/>
          <w:szCs w:val="24"/>
        </w:rPr>
        <w:fldChar w:fldCharType="separate"/>
      </w:r>
      <w:r w:rsidR="00090473">
        <w:rPr>
          <w:b/>
          <w:bCs/>
          <w:noProof/>
          <w:szCs w:val="24"/>
        </w:rPr>
        <w:instrText>«EndTime»</w:instrText>
      </w:r>
      <w:r w:rsidR="00677A88">
        <w:rPr>
          <w:b/>
          <w:bCs/>
          <w:szCs w:val="24"/>
        </w:rPr>
        <w:fldChar w:fldCharType="end"/>
      </w:r>
      <w:r w:rsidR="00677A88">
        <w:rPr>
          <w:b/>
          <w:bCs/>
          <w:szCs w:val="24"/>
        </w:rPr>
        <w:instrText xml:space="preserve">" "" </w:instrText>
      </w:r>
      <w:r w:rsidR="00677A88">
        <w:rPr>
          <w:b/>
          <w:bCs/>
          <w:szCs w:val="24"/>
        </w:rPr>
        <w:fldChar w:fldCharType="separate"/>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Wills Eye Auditorium</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Wills Eye Auditorium</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Wills Eye Auditorium</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p>
    <w:p w:rsidR="00090473" w:rsidP="0080402E">
      <w:pPr>
        <w:ind w:left="540" w:right="414"/>
        <w:jc w:val="center"/>
        <w:rPr>
          <w:noProof/>
          <w:szCs w:val="24"/>
        </w:rPr>
      </w:pPr>
      <w:r>
        <w:rPr>
          <w:szCs w:val="24"/>
        </w:rPr>
        <w:instrText xml:space="preserve"> "</w:instrText>
      </w:r>
      <w:r>
        <w:rPr>
          <w:szCs w:val="24"/>
        </w:rPr>
        <w:fldChar w:fldCharType="separate"/>
      </w:r>
      <w:r w:rsidR="00422C29">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3083D">
        <w:rPr>
          <w:bCs/>
          <w:iCs/>
        </w:rPr>
        <w:instrText>"</w:instrText>
      </w:r>
    </w:p>
    <w:p>
      <w:pPr>
        <w:bidi w:val="0"/>
        <w:spacing w:after="280" w:afterAutospacing="1"/>
        <w:rPr>
          <w:rtl w:val="0"/>
        </w:rPr>
      </w:pPr>
      <w:r>
        <w:rPr>
          <w:sz w:val="36"/>
          <w:szCs w:val="36"/>
          <w:rtl w:val="0"/>
        </w:rPr>
        <w:fldChar w:fldCharType="begin"/>
      </w:r>
      <w:r>
        <w:rPr>
          <w:sz w:val="36"/>
          <w:szCs w:val="36"/>
          <w:rtl w:val="0"/>
        </w:rPr>
        <w:instrText xml:space="preserve"> HYPERLINK "https://attendee.gotowebinar.com/register/6424566712883937296" </w:instrText>
      </w:r>
      <w:r>
        <w:rPr>
          <w:sz w:val="36"/>
          <w:szCs w:val="36"/>
          <w:rtl w:val="0"/>
        </w:rPr>
        <w:fldChar w:fldCharType="separate"/>
      </w:r>
      <w:r>
        <w:rPr>
          <w:color w:val="0000FF"/>
          <w:sz w:val="36"/>
          <w:szCs w:val="36"/>
          <w:u w:val="single"/>
          <w:rtl w:val="0"/>
        </w:rPr>
        <w:instrText>GoToWebinar Livestream</w:instrText>
      </w:r>
      <w:r>
        <w:rPr>
          <w:sz w:val="36"/>
          <w:szCs w:val="36"/>
          <w:rtl w:val="0"/>
        </w:rPr>
        <w:fldChar w:fldCharType="end"/>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rsidRPr="00DF494A">
      <w:pPr>
        <w:bidi w:val="0"/>
        <w:spacing w:after="280" w:afterAutospacing="1"/>
        <w:rPr>
          <w:bCs/>
          <w:iCs/>
        </w:rPr>
      </w:pPr>
      <w:r w:rsidR="00F3083D">
        <w:rPr>
          <w:bCs/>
          <w:iCs/>
        </w:rPr>
        <w:instrText>"</w:instrText>
      </w:r>
      <w:r w:rsidRPr="00DF494A">
        <w:rPr>
          <w:bCs/>
          <w:iCs/>
        </w:rPr>
        <w:instrText xml:space="preserve"> &lt;&gt; "" "</w:instrText>
      </w:r>
    </w:p>
    <w:p w:rsidR="000E2A8F" w:rsidP="000B10C9">
      <w:pPr>
        <w:ind w:left="450" w:right="324"/>
        <w:rPr>
          <w:bCs/>
          <w:iCs/>
          <w:sz w:val="22"/>
          <w:szCs w:val="18"/>
        </w:rPr>
      </w:pPr>
      <w:r w:rsidRPr="00DF494A">
        <w:rPr>
          <w:b/>
          <w:iCs/>
          <w:sz w:val="22"/>
          <w:szCs w:val="18"/>
        </w:rPr>
        <w:instrText>Conference</w:instrText>
      </w:r>
      <w:r>
        <w:rPr>
          <w:b/>
          <w:iCs/>
          <w:sz w:val="22"/>
          <w:szCs w:val="18"/>
        </w:rPr>
        <w:instrText xml:space="preserve"> Description:</w:instrText>
      </w:r>
    </w:p>
    <w:p w:rsidR="00090473">
      <w:pPr>
        <w:bidi w:val="0"/>
        <w:spacing w:after="280" w:afterAutospacing="1"/>
        <w:rPr>
          <w:bCs/>
          <w:iCs/>
          <w:noProof/>
        </w:rPr>
      </w:pPr>
      <w:r>
        <w:rPr>
          <w:sz w:val="36"/>
          <w:szCs w:val="36"/>
          <w:rtl w:val="0"/>
        </w:rPr>
        <w:fldChar w:fldCharType="begin"/>
      </w:r>
      <w:r>
        <w:rPr>
          <w:sz w:val="36"/>
          <w:szCs w:val="36"/>
          <w:rtl w:val="0"/>
        </w:rPr>
        <w:instrText xml:space="preserve"> HYPERLINK "https://attendee.gotowebinar.com/register/6424566712883937296" </w:instrText>
      </w:r>
      <w:r>
        <w:rPr>
          <w:sz w:val="36"/>
          <w:szCs w:val="36"/>
          <w:rtl w:val="0"/>
        </w:rPr>
        <w:fldChar w:fldCharType="separate"/>
      </w:r>
      <w:r>
        <w:rPr>
          <w:color w:val="0000FF"/>
          <w:sz w:val="36"/>
          <w:szCs w:val="36"/>
          <w:u w:val="single"/>
          <w:rtl w:val="0"/>
        </w:rPr>
        <w:instrText>GoToWebinar Livestream</w:instrText>
      </w:r>
      <w:r>
        <w:rPr>
          <w:sz w:val="36"/>
          <w:szCs w:val="36"/>
          <w:rtl w:val="0"/>
        </w:rPr>
        <w:fldChar w:fldCharType="end"/>
      </w:r>
    </w:p>
    <w:p>
      <w:pPr>
        <w:bidi w:val="0"/>
        <w:spacing w:after="280" w:afterAutospacing="1"/>
        <w:rPr>
          <w:rtl w:val="0"/>
        </w:rPr>
      </w:pPr>
      <w:r>
        <w:rPr>
          <w:rtl w:val="0"/>
        </w:rPr>
        <w:instrTex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instrText>
      </w:r>
    </w:p>
    <w:p>
      <w:pPr>
        <w:bidi w:val="0"/>
        <w:spacing w:after="280" w:afterAutospacing="1"/>
        <w:rPr>
          <w:bCs/>
          <w:iCs/>
          <w:sz w:val="22"/>
          <w:szCs w:val="18"/>
        </w:rPr>
      </w:pPr>
      <w:r w:rsidRPr="00DF494A" w:rsidR="00DF494A">
        <w:rPr>
          <w:bCs/>
          <w:iCs/>
        </w:rPr>
        <w:instrText xml:space="preserve">" "" </w:instrText>
      </w:r>
      <w:r w:rsidRPr="00DF494A" w:rsidR="00DF494A">
        <w:rPr>
          <w:bCs/>
          <w:iCs/>
        </w:rPr>
        <w:fldChar w:fldCharType="separate"/>
      </w:r>
    </w:p>
    <w:p w:rsidR="000E2A8F" w:rsidP="000B10C9">
      <w:pPr>
        <w:ind w:left="450" w:right="324"/>
        <w:rPr>
          <w:bCs/>
          <w:iCs/>
          <w:sz w:val="22"/>
          <w:szCs w:val="18"/>
        </w:rPr>
      </w:pPr>
      <w:r w:rsidRPr="00DF494A">
        <w:rPr>
          <w:b/>
          <w:iCs/>
          <w:sz w:val="22"/>
          <w:szCs w:val="18"/>
        </w:rPr>
        <w:t>Conference</w:t>
      </w:r>
      <w:r>
        <w:rPr>
          <w:b/>
          <w:iCs/>
          <w:sz w:val="22"/>
          <w:szCs w:val="18"/>
        </w:rPr>
        <w:t xml:space="preserve"> Description:</w:t>
      </w:r>
    </w:p>
    <w:p w:rsidR="00090473">
      <w:pPr>
        <w:bidi w:val="0"/>
        <w:spacing w:after="280" w:afterAutospacing="1"/>
        <w:rPr>
          <w:bCs/>
          <w:iCs/>
          <w:noProof/>
        </w:rPr>
      </w:pPr>
      <w:r>
        <w:rPr>
          <w:color w:val="0000FF"/>
          <w:sz w:val="36"/>
          <w:szCs w:val="36"/>
          <w:u w:val="single"/>
          <w:rtl w:val="0"/>
        </w:rPr>
        <w:t>GoToWebinar Livestream</w:t>
      </w:r>
    </w:p>
    <w:p>
      <w:pPr>
        <w:bidi w:val="0"/>
        <w:spacing w:after="280" w:afterAutospacing="1"/>
        <w:rPr>
          <w:rtl w:val="0"/>
        </w:rPr>
      </w:pPr>
      <w:r>
        <w:rPr>
          <w:rtl w:val="0"/>
        </w:rPr>
        <w:t>With the emergence of new technologies, treatments, and clinical trial results, ophthalmologists need to understand how to incorporate these advances into clinical care. We will discuss latest advances in the management of inherited and acquired ophthalmic diseases and evidence for emerging therapies and screening modalities. Both didactic and case-based educational formats will be utilized to illustrate current trends in the management of complex and routine ophthalmic patients, taking into account diagnostics as well as nonsurgical and surgical treatment.</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Discuss important new advances in the etiologies, diagnosis, and treatment/prevention of eye diseases.</w:instrText>
      </w:r>
    </w:p>
    <w:p w:rsidR="00AC209D" w:rsidRPr="00522A80">
      <w:pPr>
        <w:bidi w:val="0"/>
        <w:spacing w:after="280" w:afterAutospacing="1"/>
        <w:rPr>
          <w:bCs/>
          <w:iCs/>
          <w:sz w:val="22"/>
          <w:szCs w:val="22"/>
        </w:rPr>
      </w:pPr>
      <w:r w:rsidRPr="00522A80" w:rsidR="00522A80">
        <w:rPr>
          <w:bCs/>
          <w:iCs/>
          <w:sz w:val="22"/>
          <w:szCs w:val="22"/>
        </w:rPr>
        <w:instrText>2 Identify basic and clinical vision research that can be transformed into improved clinical care.</w:instrText>
      </w:r>
    </w:p>
    <w:p w:rsidR="00AC209D" w:rsidRPr="00522A80">
      <w:pPr>
        <w:bidi w:val="0"/>
        <w:spacing w:after="280" w:afterAutospacing="1"/>
        <w:rPr>
          <w:bCs/>
          <w:iCs/>
          <w:sz w:val="22"/>
          <w:szCs w:val="22"/>
        </w:rPr>
      </w:pPr>
      <w:r w:rsidRPr="00522A80" w:rsidR="00522A80">
        <w:rPr>
          <w:bCs/>
          <w:iCs/>
          <w:sz w:val="22"/>
          <w:szCs w:val="22"/>
        </w:rPr>
        <w:instrText>3 Assess the role of new technologies in the evaluation and treatment of eye diseases.</w:instrText>
      </w:r>
    </w:p>
    <w:p w:rsidR="00AC209D" w:rsidRPr="00522A80">
      <w:pPr>
        <w:bidi w:val="0"/>
        <w:spacing w:after="280" w:afterAutospacing="1"/>
        <w:rPr>
          <w:bCs/>
          <w:iCs/>
          <w:sz w:val="22"/>
          <w:szCs w:val="22"/>
        </w:rPr>
      </w:pPr>
      <w:r w:rsidRPr="00522A80" w:rsidR="00522A80">
        <w:rPr>
          <w:bCs/>
          <w:iCs/>
          <w:sz w:val="22"/>
          <w:szCs w:val="22"/>
        </w:rPr>
        <w:instrText>4 Describe factors that impact the effective delivery of the highest quality eye care for the public.</w:instrText>
      </w:r>
    </w:p>
    <w:p w:rsidR="00AC209D" w:rsidRPr="00522A80">
      <w:pPr>
        <w:bidi w:val="0"/>
        <w:spacing w:after="280" w:afterAutospacing="1"/>
        <w:rPr>
          <w:bCs/>
          <w:iCs/>
          <w:sz w:val="22"/>
          <w:szCs w:val="22"/>
        </w:rPr>
      </w:pPr>
      <w:r w:rsidRPr="00522A80" w:rsidR="00522A80">
        <w:rPr>
          <w:bCs/>
          <w:iCs/>
          <w:sz w:val="22"/>
          <w:szCs w:val="22"/>
        </w:rPr>
        <w:instrText>5 Identify clinical, scientific, and ethical issues confronting the profession.</w:instrText>
      </w:r>
    </w:p>
    <w:p w:rsidR="00AC209D" w:rsidRPr="00522A80">
      <w:pPr>
        <w:bidi w:val="0"/>
        <w:spacing w:after="280" w:afterAutospacing="1"/>
        <w:rPr>
          <w:bCs/>
          <w:iCs/>
          <w:sz w:val="22"/>
          <w:szCs w:val="22"/>
        </w:rPr>
      </w:pPr>
      <w:r w:rsidRPr="00522A80" w:rsidR="00522A80">
        <w:rPr>
          <w:bCs/>
          <w:iCs/>
          <w:sz w:val="22"/>
          <w:szCs w:val="22"/>
        </w:rPr>
        <w:instrText>6 Obtain information and tools through multiple facets to help ophthalmologists deliver high and efficient quality of care.</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Discuss important new advances in the etiologies, diagnosis, and treatment/prevention of eye diseases.</w:instrText>
      </w:r>
    </w:p>
    <w:p w:rsidP="000B10C9">
      <w:pPr>
        <w:ind w:left="450" w:right="324"/>
        <w:rPr>
          <w:bCs/>
          <w:iCs/>
          <w:sz w:val="22"/>
          <w:szCs w:val="22"/>
        </w:rPr>
      </w:pPr>
      <w:r>
        <w:rPr>
          <w:bCs/>
          <w:iCs/>
          <w:sz w:val="22"/>
          <w:szCs w:val="22"/>
        </w:rPr>
        <w:instrText>2 Identify basic and clinical vision research that can be transformed into improved clinical care.</w:instrText>
      </w:r>
    </w:p>
    <w:p w:rsidP="000B10C9">
      <w:pPr>
        <w:ind w:left="450" w:right="324"/>
        <w:rPr>
          <w:bCs/>
          <w:iCs/>
          <w:sz w:val="22"/>
          <w:szCs w:val="22"/>
        </w:rPr>
      </w:pPr>
      <w:r>
        <w:rPr>
          <w:bCs/>
          <w:iCs/>
          <w:sz w:val="22"/>
          <w:szCs w:val="22"/>
        </w:rPr>
        <w:instrText>3 Assess the role of new technologies in the evaluation and treatment of eye diseases.</w:instrText>
      </w:r>
    </w:p>
    <w:p w:rsidP="000B10C9">
      <w:pPr>
        <w:ind w:left="450" w:right="324"/>
        <w:rPr>
          <w:bCs/>
          <w:iCs/>
          <w:sz w:val="22"/>
          <w:szCs w:val="22"/>
        </w:rPr>
      </w:pPr>
      <w:r>
        <w:rPr>
          <w:bCs/>
          <w:iCs/>
          <w:sz w:val="22"/>
          <w:szCs w:val="22"/>
        </w:rPr>
        <w:instrText>4 Describe factors that impact the effective delivery of the highest quality eye care for the public.</w:instrText>
      </w:r>
    </w:p>
    <w:p w:rsidP="000B10C9">
      <w:pPr>
        <w:ind w:left="450" w:right="324"/>
        <w:rPr>
          <w:bCs/>
          <w:iCs/>
          <w:sz w:val="22"/>
          <w:szCs w:val="22"/>
        </w:rPr>
      </w:pPr>
      <w:r>
        <w:rPr>
          <w:bCs/>
          <w:iCs/>
          <w:sz w:val="22"/>
          <w:szCs w:val="22"/>
        </w:rPr>
        <w:instrText>5 Identify clinical, scientific, and ethical issues confronting the profession.</w:instrText>
      </w:r>
    </w:p>
    <w:p w:rsidP="000B10C9">
      <w:pPr>
        <w:ind w:left="450" w:right="324"/>
        <w:rPr>
          <w:bCs/>
          <w:iCs/>
          <w:sz w:val="22"/>
          <w:szCs w:val="22"/>
        </w:rPr>
      </w:pPr>
      <w:r>
        <w:rPr>
          <w:bCs/>
          <w:iCs/>
          <w:sz w:val="22"/>
          <w:szCs w:val="22"/>
        </w:rPr>
        <w:instrText>6 Obtain information and tools through multiple facets to help ophthalmologists deliver high and efficient quality of care.</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Discuss important new advances in the etiologies, diagnosis, and treatment/prevention of eye diseases.</w:t>
      </w:r>
    </w:p>
    <w:p w:rsidP="000B10C9">
      <w:pPr>
        <w:ind w:left="450" w:right="324"/>
        <w:rPr>
          <w:bCs/>
          <w:iCs/>
          <w:sz w:val="22"/>
          <w:szCs w:val="22"/>
        </w:rPr>
      </w:pPr>
      <w:r>
        <w:rPr>
          <w:bCs/>
          <w:iCs/>
          <w:sz w:val="22"/>
          <w:szCs w:val="22"/>
        </w:rPr>
        <w:t>2 Identify basic and clinical vision research that can be transformed into improved clinical care.</w:t>
      </w:r>
    </w:p>
    <w:p w:rsidP="000B10C9">
      <w:pPr>
        <w:ind w:left="450" w:right="324"/>
        <w:rPr>
          <w:bCs/>
          <w:iCs/>
          <w:sz w:val="22"/>
          <w:szCs w:val="22"/>
        </w:rPr>
      </w:pPr>
      <w:r>
        <w:rPr>
          <w:bCs/>
          <w:iCs/>
          <w:sz w:val="22"/>
          <w:szCs w:val="22"/>
        </w:rPr>
        <w:t>3 Assess the role of new technologies in the evaluation and treatment of eye diseases.</w:t>
      </w:r>
    </w:p>
    <w:p w:rsidP="000B10C9">
      <w:pPr>
        <w:ind w:left="450" w:right="324"/>
        <w:rPr>
          <w:bCs/>
          <w:iCs/>
          <w:sz w:val="22"/>
          <w:szCs w:val="22"/>
        </w:rPr>
      </w:pPr>
      <w:r>
        <w:rPr>
          <w:bCs/>
          <w:iCs/>
          <w:sz w:val="22"/>
          <w:szCs w:val="22"/>
        </w:rPr>
        <w:t>4 Describe factors that impact the effective delivery of the highest quality eye care for the public.</w:t>
      </w:r>
    </w:p>
    <w:p w:rsidP="000B10C9">
      <w:pPr>
        <w:ind w:left="450" w:right="324"/>
        <w:rPr>
          <w:bCs/>
          <w:iCs/>
          <w:sz w:val="22"/>
          <w:szCs w:val="22"/>
        </w:rPr>
      </w:pPr>
      <w:r>
        <w:rPr>
          <w:bCs/>
          <w:iCs/>
          <w:sz w:val="22"/>
          <w:szCs w:val="22"/>
        </w:rPr>
        <w:t>5 Identify clinical, scientific, and ethical issues confronting the profession.</w:t>
      </w:r>
    </w:p>
    <w:p w:rsidR="00AC209D" w:rsidRPr="00522A80" w:rsidP="000B10C9">
      <w:pPr>
        <w:ind w:left="450" w:right="324"/>
        <w:rPr>
          <w:bCs/>
          <w:iCs/>
          <w:sz w:val="22"/>
          <w:szCs w:val="22"/>
        </w:rPr>
      </w:pPr>
      <w:r>
        <w:rPr>
          <w:bCs/>
          <w:iCs/>
          <w:sz w:val="22"/>
          <w:szCs w:val="22"/>
        </w:rPr>
        <w:t>6 Obtain information and tools through multiple facets to help ophthalmologists deliver high and efficient quality of care.</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4.00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0.00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r w:rsidR="00666F77">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Guillermo Amescua,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Royalties or Patent Beneficiary-Kala Pharmaceuticals|Consulting Fee-Sun Pharmaceutical Industries (Relationship has ended) - 10/10/2022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C Anhalt,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Brandon D. Ayres,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Fee-Alcon|Consulting Fee-Allergan|Consulting Fee-Bausch + Lomb|Consulting Fee-Sun Pharmaceutical Industries|Consulting Fee-Novartis|Consulting Fee-Dompé  - 10/27/2022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Vatinee Bunya,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Brad H Feldman,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Brenton D. Finklea,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Honoraria-CorneaGen (Relationship has ended) - 10/10/2022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Kristin M. Hammersmith,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Sadeer B. Hannush,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Fee-Kowa, Inc - 10/27/2022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Aditya Kanesa-thasan,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Beeran Meghpara,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Fee-Sun Pharmaceutical Industries|Consulting Fee-Glaukos Corporation|Consulting Fee-Johnson &amp; Johnson|Consulting Fee-Santen Pharmaceuticals|Consulting Fee-Kala Pharmaceuticals|Consulting Fee-OCULUS Surgical, Inc.|Consulting Fee-Allergan|Consulting Fee-Sight Sciences|Consulting Fee-CorneaGen|Consulting Fee-Dompé |Consulting Fee-Zeiss - 10/09/2022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Parveen K. Nagra,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Ravi Patel, MD,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Bureau-Allergan|Consulting Fee-Johnson &amp; Johnson|Grant or research support-Ocular Therapeutix|Consulting Fee-Kala Pharmaceuticals (Relationship has ended) - 10/12/2022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Pro,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Advisor-New World Medical - 10/27/2022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Irving M. Raber,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Christopher J. Rapuano,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Fee-Bio-Tissue|Consulting Fee-Dompé |Consulting Fee-Glaukos Corporation|Consulting Fee-Oyster Point Pharmaceuticals|Consulting Fee-Sun Pharmaceutical Industries|Consulting Fee-TearLab|Honoraria-Dompé  - 02/16/2022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Zeba A. Syed,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Bureau-Bio-Tissue|Grant or research support-Dompé |Grant or research support-Glaukos Corporation - 10/14/2022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Cindy Zheng ,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Stocks or stock options, excluding diversified mutual funds-Merck - 06/07/2022</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James Saylor</cp:lastModifiedBy>
  <cp:revision>3</cp:revision>
  <cp:lastPrinted>2015-01-15T13:54:00Z</cp:lastPrinted>
  <dcterms:created xsi:type="dcterms:W3CDTF">2021-03-05T14:13:00Z</dcterms:created>
  <dcterms:modified xsi:type="dcterms:W3CDTF">2021-05-03T19:36:00Z</dcterms:modified>
</cp:coreProperties>
</file>