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Vickie and Jack Farber Vision Research Guest Lecture Series: Dr. David Friedman (05/13/22)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May 13,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May 13,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May 13,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Fonts w:ascii="Helvetica" w:eastAsia="Helvetica" w:hAnsi="Helvetica" w:cs="Helvetica"/>
          <w:sz w:val="24"/>
          <w:szCs w:val="24"/>
          <w:rtl w:val="0"/>
        </w:rPr>
        <w:instrText>The Vickie and Jack Farber Vision Research Center: Research Guest Lecture Series provides a setting for ophthalmologists and vision researchers to learn about innovative research in relevant cross-cutting areas of ophthalmology and vision science. Invited guest lecturers are leading investigators in targeted hot topic areas of clinical or translational vision research who will discuss their ongoing research as well as future directions as well as their personal research career path.</w:instrText>
      </w:r>
    </w:p>
    <w:p>
      <w:pPr>
        <w:bidi w:val="0"/>
        <w:spacing w:after="280" w:afterAutospacing="1"/>
        <w:rPr>
          <w:rtl w:val="0"/>
        </w:rPr>
      </w:pPr>
      <w:r>
        <w:rPr>
          <w:rtl w:val="0"/>
        </w:rPr>
        <w:instrText> </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Fonts w:ascii="Helvetica" w:eastAsia="Helvetica" w:hAnsi="Helvetica" w:cs="Helvetica"/>
          <w:sz w:val="24"/>
          <w:szCs w:val="24"/>
          <w:rtl w:val="0"/>
        </w:rPr>
        <w:instrText>The Vickie and Jack Farber Vision Research Center: Research Guest Lecture Series provides a setting for ophthalmologists and vision researchers to learn about innovative research in relevant cross-cutting areas of ophthalmology and vision science. Invited guest lecturers are leading investigators in targeted hot topic areas of clinical or translational vision research who will discuss their ongoing research as well as future directions as well as their personal research career path.</w:instrText>
      </w:r>
    </w:p>
    <w:p>
      <w:pPr>
        <w:bidi w:val="0"/>
        <w:spacing w:after="280" w:afterAutospacing="1"/>
        <w:rPr>
          <w:rtl w:val="0"/>
        </w:rPr>
      </w:pPr>
      <w:r>
        <w:rPr>
          <w:rtl w:val="0"/>
        </w:rPr>
        <w:instrText> </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Fonts w:ascii="Helvetica" w:eastAsia="Helvetica" w:hAnsi="Helvetica" w:cs="Helvetica"/>
          <w:sz w:val="24"/>
          <w:szCs w:val="24"/>
          <w:rtl w:val="0"/>
        </w:rPr>
        <w:t>The Vickie and Jack Farber Vision Research Center: Research Guest Lecture Series provides a setting for ophthalmologists and vision researchers to learn about innovative research in relevant cross-cutting areas of ophthalmology and vision science. Invited guest lecturers are leading investigators in targeted hot topic areas of clinical or translational vision research who will discuss their ongoing research as well as future directions as well as their personal research career path.</w:t>
      </w:r>
    </w:p>
    <w:p>
      <w:pPr>
        <w:bidi w:val="0"/>
        <w:spacing w:after="280" w:afterAutospacing="1"/>
        <w:rPr>
          <w:rtl w:val="0"/>
        </w:rPr>
      </w:pPr>
      <w:r>
        <w:rPr>
          <w:rtl w:val="0"/>
        </w:rPr>
        <w:t> </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Gain insight in hot topic areas of evidence based clinical or translational vision research.</w:instrText>
      </w:r>
    </w:p>
    <w:p w:rsidR="00AC209D" w:rsidRPr="00522A80">
      <w:pPr>
        <w:bidi w:val="0"/>
        <w:spacing w:after="280" w:afterAutospacing="1"/>
        <w:rPr>
          <w:bCs/>
          <w:iCs/>
          <w:sz w:val="22"/>
          <w:szCs w:val="22"/>
        </w:rPr>
      </w:pPr>
      <w:r w:rsidRPr="00522A80" w:rsidR="00522A80">
        <w:rPr>
          <w:bCs/>
          <w:iCs/>
          <w:sz w:val="22"/>
          <w:szCs w:val="22"/>
        </w:rPr>
        <w:instrText>2 Formulate innovative, impactful research questions.</w:instrText>
      </w:r>
    </w:p>
    <w:p w:rsidR="00AC209D" w:rsidRPr="00522A80">
      <w:pPr>
        <w:bidi w:val="0"/>
        <w:spacing w:after="280" w:afterAutospacing="1"/>
        <w:rPr>
          <w:bCs/>
          <w:iCs/>
          <w:sz w:val="22"/>
          <w:szCs w:val="22"/>
        </w:rPr>
      </w:pPr>
      <w:r w:rsidRPr="00522A80" w:rsidR="00522A80">
        <w:rPr>
          <w:bCs/>
          <w:iCs/>
          <w:sz w:val="22"/>
          <w:szCs w:val="22"/>
        </w:rPr>
        <w:instrText>3 Develop local, national, and international research collaborations.</w:instrText>
      </w:r>
    </w:p>
    <w:p w:rsidR="00AC209D" w:rsidRPr="00522A80">
      <w:pPr>
        <w:bidi w:val="0"/>
        <w:spacing w:after="280" w:afterAutospacing="1"/>
        <w:rPr>
          <w:bCs/>
          <w:iCs/>
          <w:sz w:val="22"/>
          <w:szCs w:val="22"/>
        </w:rPr>
      </w:pPr>
      <w:r w:rsidRPr="00522A80" w:rsidR="00522A80">
        <w:rPr>
          <w:bCs/>
          <w:iCs/>
          <w:sz w:val="22"/>
          <w:szCs w:val="22"/>
        </w:rPr>
        <w:instrText>4 Broaden awareness of opportunities for research focused career paths.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Gain insight in hot topic areas of evidence based clinical or translational vision research.</w:instrText>
      </w:r>
    </w:p>
    <w:p w:rsidP="000B10C9">
      <w:pPr>
        <w:ind w:left="450" w:right="324"/>
        <w:rPr>
          <w:bCs/>
          <w:iCs/>
          <w:sz w:val="22"/>
          <w:szCs w:val="22"/>
        </w:rPr>
      </w:pPr>
      <w:r>
        <w:rPr>
          <w:bCs/>
          <w:iCs/>
          <w:sz w:val="22"/>
          <w:szCs w:val="22"/>
        </w:rPr>
        <w:instrText>2 Formulate innovative, impactful research questions.</w:instrText>
      </w:r>
    </w:p>
    <w:p w:rsidP="000B10C9">
      <w:pPr>
        <w:ind w:left="450" w:right="324"/>
        <w:rPr>
          <w:bCs/>
          <w:iCs/>
          <w:sz w:val="22"/>
          <w:szCs w:val="22"/>
        </w:rPr>
      </w:pPr>
      <w:r>
        <w:rPr>
          <w:bCs/>
          <w:iCs/>
          <w:sz w:val="22"/>
          <w:szCs w:val="22"/>
        </w:rPr>
        <w:instrText>3 Develop local, national, and international research collaborations.</w:instrText>
      </w:r>
    </w:p>
    <w:p w:rsidP="000B10C9">
      <w:pPr>
        <w:ind w:left="450" w:right="324"/>
        <w:rPr>
          <w:bCs/>
          <w:iCs/>
          <w:sz w:val="22"/>
          <w:szCs w:val="22"/>
        </w:rPr>
      </w:pPr>
      <w:r>
        <w:rPr>
          <w:bCs/>
          <w:iCs/>
          <w:sz w:val="22"/>
          <w:szCs w:val="22"/>
        </w:rPr>
        <w:instrText>4 Broaden awareness of opportunities for research focused career paths.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Gain insight in hot topic areas of evidence based clinical or translational vision research.</w:t>
      </w:r>
    </w:p>
    <w:p w:rsidP="000B10C9">
      <w:pPr>
        <w:ind w:left="450" w:right="324"/>
        <w:rPr>
          <w:bCs/>
          <w:iCs/>
          <w:sz w:val="22"/>
          <w:szCs w:val="22"/>
        </w:rPr>
      </w:pPr>
      <w:r>
        <w:rPr>
          <w:bCs/>
          <w:iCs/>
          <w:sz w:val="22"/>
          <w:szCs w:val="22"/>
        </w:rPr>
        <w:t>2 Formulate innovative, impactful research questions.</w:t>
      </w:r>
    </w:p>
    <w:p w:rsidP="000B10C9">
      <w:pPr>
        <w:ind w:left="450" w:right="324"/>
        <w:rPr>
          <w:bCs/>
          <w:iCs/>
          <w:sz w:val="22"/>
          <w:szCs w:val="22"/>
        </w:rPr>
      </w:pPr>
      <w:r>
        <w:rPr>
          <w:bCs/>
          <w:iCs/>
          <w:sz w:val="22"/>
          <w:szCs w:val="22"/>
        </w:rPr>
        <w:t>3 Develop local, national, and international research collaborations.</w:t>
      </w:r>
    </w:p>
    <w:p w:rsidR="00AC209D" w:rsidRPr="00522A80" w:rsidP="000B10C9">
      <w:pPr>
        <w:ind w:left="450" w:right="324"/>
        <w:rPr>
          <w:bCs/>
          <w:iCs/>
          <w:sz w:val="22"/>
          <w:szCs w:val="22"/>
        </w:rPr>
      </w:pPr>
      <w:r>
        <w:rPr>
          <w:bCs/>
          <w:iCs/>
          <w:sz w:val="22"/>
          <w:szCs w:val="22"/>
        </w:rPr>
        <w:t>4 Broaden awareness of opportunities for research focused career paths.</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Aakriti Shukla,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Fee-Allergan|Grant or research support-Allergan - 12/06/2021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Bureau-Bio-Tissue|Grant or research support-Dompé  - 09/27/2021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Leslie Hyman,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Y. Chew,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S Friedman,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Fee-Thea Pharmaceuticals|Consulting Fee-Abbvie|Consulting Fee-Life Biosciences (Relationship has ended)|Consulting Fee-National Opinion Research Center|Consulting Fee-Zeiss - 05/09/2022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Trappanese,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