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23rd Biennial Cornea Conference: Current Concepts in Corneal and Refractive Surgery and External Disease</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October 22, 2021</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October 23, 2021</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October 22, 2021</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instrText>Saturday, October 23, 2021</w:instrText>
      </w:r>
      <w:r w:rsidR="00677A88">
        <w:rPr>
          <w:b/>
          <w:bCs/>
          <w:szCs w:val="24"/>
        </w:rPr>
        <w:instrText xml:space="preserve">" "" </w:instrText>
      </w:r>
      <w:r w:rsidR="00677A88">
        <w:rPr>
          <w:b/>
          <w:bCs/>
          <w:szCs w:val="24"/>
        </w:rPr>
        <w:fldChar w:fldCharType="separate"/>
      </w:r>
      <w:r w:rsidR="00677A88">
        <w:rPr>
          <w:b/>
          <w:bCs/>
          <w:szCs w:val="24"/>
        </w:rPr>
        <w:t xml:space="preserve"> </w:t>
      </w:r>
      <w:r w:rsidRPr="00677A88" w:rsidR="00677A88">
        <w:rPr>
          <w:b/>
          <w:bCs/>
          <w:szCs w:val="24"/>
        </w:rPr>
        <w:t>—</w:t>
      </w:r>
      <w:r w:rsidR="00677A88">
        <w:rPr>
          <w:b/>
          <w:bCs/>
          <w:szCs w:val="24"/>
        </w:rPr>
        <w:t xml:space="preserve"> </w:t>
      </w:r>
      <w:r w:rsidR="00677A88">
        <w:rPr>
          <w:b/>
          <w:bCs/>
          <w:szCs w:val="24"/>
        </w:rPr>
        <w:t>Saturday, October 23, 2021</w:t>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sidR="00090473">
        <w:rPr>
          <w:noProof/>
          <w:szCs w:val="24"/>
        </w:rPr>
        <w:instrText>"</w:instrText>
      </w:r>
      <w:r w:rsidR="00090473">
        <w:rPr>
          <w:noProof/>
          <w:szCs w:val="24"/>
        </w:rPr>
        <w:instrText>Christopher J</w:instrText>
      </w:r>
      <w:r>
        <w:rPr>
          <w:szCs w:val="24"/>
        </w:rPr>
        <w:instrText>. Rapuano, MD</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sidR="00090473">
        <w:rPr>
          <w:b/>
          <w:noProof/>
          <w:sz w:val="28"/>
          <w:szCs w:val="28"/>
        </w:rPr>
        <w:instrText>Christopher J</w:instrText>
      </w:r>
      <w:r>
        <w:rPr>
          <w:b/>
          <w:sz w:val="28"/>
          <w:szCs w:val="28"/>
        </w:rPr>
        <w:instrText>. Rapuano, MD</w:instrText>
      </w:r>
    </w:p>
    <w:p w:rsidR="00090473" w:rsidP="0080402E">
      <w:pPr>
        <w:ind w:left="540" w:right="414"/>
        <w:jc w:val="center"/>
        <w:rPr>
          <w:noProof/>
          <w:szCs w:val="24"/>
        </w:rPr>
      </w:pPr>
      <w:r>
        <w:rPr>
          <w:szCs w:val="24"/>
        </w:rPr>
        <w:instrText xml:space="preserve"> "</w:instrText>
      </w:r>
      <w:r>
        <w:rPr>
          <w:szCs w:val="24"/>
        </w:rPr>
        <w:fldChar w:fldCharType="separate"/>
      </w:r>
      <w:r w:rsidRPr="00806477" w:rsidR="00DB066A">
        <w:rPr>
          <w:szCs w:val="24"/>
        </w:rPr>
        <w:t>Program Chair</w:t>
      </w:r>
      <w:r w:rsidR="00DB066A">
        <w:rPr>
          <w:szCs w:val="24"/>
        </w:rPr>
        <w:t>(s):</w:t>
      </w:r>
    </w:p>
    <w:p w:rsidR="003936BF" w:rsidRPr="00042BB4" w:rsidP="0080402E">
      <w:pPr>
        <w:ind w:left="540" w:right="414"/>
        <w:jc w:val="center"/>
        <w:rPr>
          <w:b/>
          <w:sz w:val="28"/>
          <w:szCs w:val="28"/>
        </w:rPr>
      </w:pPr>
      <w:r w:rsidR="00090473">
        <w:rPr>
          <w:b/>
          <w:noProof/>
          <w:sz w:val="28"/>
          <w:szCs w:val="28"/>
        </w:rPr>
        <w:t>Christopher J</w:t>
      </w:r>
      <w:r>
        <w:rPr>
          <w:b/>
          <w:sz w:val="28"/>
          <w:szCs w:val="28"/>
        </w:rPr>
        <w:t>. Rapuano, MD</w:t>
      </w:r>
    </w:p>
    <w:p w:rsidR="00422C29" w:rsidP="0080402E">
      <w:pPr>
        <w:ind w:left="540" w:right="414"/>
        <w:jc w:val="center"/>
        <w:rPr>
          <w:szCs w:val="24"/>
        </w:rPr>
      </w:pPr>
      <w:r>
        <w:rPr>
          <w:szCs w:val="24"/>
        </w:rPr>
        <w:t xml:space="preserve"> </w:t>
      </w:r>
      <w:r>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r>
        <w:rPr>
          <w:rtl w:val="0"/>
        </w:rPr>
        <w:instrText>This conference is designed to update comprehensive ophthalmologists and cornea specialists on current concepts and recent advances in a wide range of topics related to external disease, cornea transplant and cataract surgery, in addition to anterior segment reconstruction and refractive surgery. </w:instrText>
      </w: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rsidP="000B10C9">
      <w:pPr>
        <w:ind w:left="450" w:right="324"/>
        <w:rPr>
          <w:bCs/>
          <w:iCs/>
          <w:noProof/>
        </w:rPr>
      </w:pPr>
      <w:r>
        <w:rPr>
          <w:rtl w:val="0"/>
        </w:rPr>
        <w:instrText>This conference is designed to update comprehensive ophthalmologists and cornea specialists on current concepts and recent advances in a wide range of topics related to external disease, cornea transplant and cataract surgery, in addition to anterior segment reconstruction and refractive surgery. </w:instrText>
      </w: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DF494A" w:rsidRPr="00DF494A" w:rsidP="000B10C9">
      <w:pPr>
        <w:ind w:left="450" w:right="324"/>
        <w:rPr>
          <w:bCs/>
          <w:iCs/>
        </w:rPr>
      </w:pPr>
      <w:r>
        <w:rPr>
          <w:rtl w:val="0"/>
        </w:rPr>
        <w:t>This conference is designed to update comprehensive ophthalmologists and cornea specialists on current concepts and recent advances in a wide range of topics related to external disease, cornea transplant and cataract surgery, in addition to anterior segment reconstruction and refractive surgery. </w:t>
      </w: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Apply current concepts in the management of ocular surface disease including treating severe dry eye conditions, GVHD, limbal stem cell deficiency and neurotrophic keratopathy.</w:instrText>
      </w:r>
    </w:p>
    <w:p w:rsidR="00AC209D" w:rsidRPr="00522A80" w:rsidP="000B10C9">
      <w:pPr>
        <w:ind w:left="450" w:right="324"/>
        <w:rPr>
          <w:bCs/>
          <w:iCs/>
          <w:sz w:val="22"/>
          <w:szCs w:val="22"/>
        </w:rPr>
      </w:pPr>
      <w:r w:rsidRPr="00522A80" w:rsidR="00522A80">
        <w:rPr>
          <w:bCs/>
          <w:iCs/>
          <w:sz w:val="22"/>
          <w:szCs w:val="22"/>
        </w:rPr>
        <w:instrText>2 Assess techniques used in the diagnosis and management of acanthamoeba keratitis, atypical infectious keratitis and infectious scleritis.</w:instrText>
      </w:r>
    </w:p>
    <w:p w:rsidR="00AC209D" w:rsidRPr="00522A80" w:rsidP="000B10C9">
      <w:pPr>
        <w:ind w:left="450" w:right="324"/>
        <w:rPr>
          <w:bCs/>
          <w:iCs/>
          <w:sz w:val="22"/>
          <w:szCs w:val="22"/>
        </w:rPr>
      </w:pPr>
      <w:r w:rsidRPr="00522A80" w:rsidR="00522A80">
        <w:rPr>
          <w:bCs/>
          <w:iCs/>
          <w:sz w:val="22"/>
          <w:szCs w:val="22"/>
        </w:rPr>
        <w:instrText>3 Appreciate current status of new techniques for corneal surgery including Descemet’s stripping endothelial keratoplasty (DSEK), Descemet’s membrane endothelial keratoplasty DMEK), deep anterior lamellar keratoplasty (DALK), and Descemet’s stripping only (DSO).</w:instrText>
      </w:r>
    </w:p>
    <w:p w:rsidR="00AC209D" w:rsidRPr="00522A80" w:rsidP="000B10C9">
      <w:pPr>
        <w:ind w:left="450" w:right="324"/>
        <w:rPr>
          <w:bCs/>
          <w:iCs/>
          <w:sz w:val="22"/>
          <w:szCs w:val="22"/>
        </w:rPr>
      </w:pPr>
      <w:r w:rsidRPr="00522A80" w:rsidR="00522A80">
        <w:rPr>
          <w:bCs/>
          <w:iCs/>
          <w:sz w:val="22"/>
          <w:szCs w:val="22"/>
        </w:rPr>
        <w:instrText>4 Integrate into practice the best use of corneal crosslinking for the treatment of keratoconus and post-refractive surgery ectasia.</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Apply current concepts in the management of ocular surface disease including treating severe dry eye conditions, GVHD, limbal stem cell deficiency and neurotrophic keratopathy.</w:instrText>
      </w:r>
    </w:p>
    <w:p w:rsidP="000B10C9">
      <w:pPr>
        <w:ind w:left="450" w:right="324"/>
        <w:rPr>
          <w:bCs/>
          <w:iCs/>
          <w:sz w:val="22"/>
          <w:szCs w:val="22"/>
        </w:rPr>
      </w:pPr>
      <w:r>
        <w:rPr>
          <w:bCs/>
          <w:iCs/>
          <w:sz w:val="22"/>
          <w:szCs w:val="22"/>
        </w:rPr>
        <w:instrText>2 Assess techniques used in the diagnosis and management of acanthamoeba keratitis, atypical infectious keratitis and infectious scleritis.</w:instrText>
      </w:r>
    </w:p>
    <w:p w:rsidP="000B10C9">
      <w:pPr>
        <w:ind w:left="450" w:right="324"/>
        <w:rPr>
          <w:bCs/>
          <w:iCs/>
          <w:sz w:val="22"/>
          <w:szCs w:val="22"/>
        </w:rPr>
      </w:pPr>
      <w:r>
        <w:rPr>
          <w:bCs/>
          <w:iCs/>
          <w:sz w:val="22"/>
          <w:szCs w:val="22"/>
        </w:rPr>
        <w:instrText>3 Appreciate current status of new techniques for corneal surgery including Descemet’s stripping endothelial keratoplasty (DSEK), Descemet’s membrane endothelial keratoplasty DMEK), deep anterior lamellar keratoplasty (DALK), and Descemet’s stripping only (DSO).</w:instrText>
      </w:r>
    </w:p>
    <w:p w:rsidP="000B10C9">
      <w:pPr>
        <w:ind w:left="450" w:right="324"/>
        <w:rPr>
          <w:bCs/>
          <w:iCs/>
          <w:sz w:val="22"/>
          <w:szCs w:val="22"/>
        </w:rPr>
      </w:pPr>
      <w:r>
        <w:rPr>
          <w:bCs/>
          <w:iCs/>
          <w:sz w:val="22"/>
          <w:szCs w:val="22"/>
        </w:rPr>
        <w:instrText>4 Integrate into practice the best use of corneal crosslinking for the treatment of keratoconus and post-refractive surgery ectasia.</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Apply current concepts in the management of ocular surface disease including treating severe dry eye conditions, GVHD, limbal stem cell deficiency and neurotrophic keratopathy.</w:t>
      </w:r>
    </w:p>
    <w:p w:rsidP="000B10C9">
      <w:pPr>
        <w:ind w:left="450" w:right="324"/>
        <w:rPr>
          <w:bCs/>
          <w:iCs/>
          <w:sz w:val="22"/>
          <w:szCs w:val="22"/>
        </w:rPr>
      </w:pPr>
      <w:r>
        <w:rPr>
          <w:bCs/>
          <w:iCs/>
          <w:sz w:val="22"/>
          <w:szCs w:val="22"/>
        </w:rPr>
        <w:t>2 Assess techniques used in the diagnosis and management of acanthamoeba keratitis, atypical infectious keratitis and infectious scleritis.</w:t>
      </w:r>
    </w:p>
    <w:p w:rsidP="000B10C9">
      <w:pPr>
        <w:ind w:left="450" w:right="324"/>
        <w:rPr>
          <w:bCs/>
          <w:iCs/>
          <w:sz w:val="22"/>
          <w:szCs w:val="22"/>
        </w:rPr>
      </w:pPr>
      <w:r>
        <w:rPr>
          <w:bCs/>
          <w:iCs/>
          <w:sz w:val="22"/>
          <w:szCs w:val="22"/>
        </w:rPr>
        <w:t>3 Appreciate current status of new techniques for corneal surgery including Descemet’s stripping endothelial keratoplasty (DSEK), Descemet’s membrane endothelial keratoplasty DMEK), deep anterior lamellar keratoplasty (DALK), and Descemet’s stripping only (DSO).</w:t>
      </w:r>
    </w:p>
    <w:p w:rsidR="00AC209D" w:rsidRPr="00522A80" w:rsidP="000B10C9">
      <w:pPr>
        <w:ind w:left="450" w:right="324"/>
        <w:rPr>
          <w:bCs/>
          <w:iCs/>
          <w:sz w:val="22"/>
          <w:szCs w:val="22"/>
        </w:rPr>
      </w:pPr>
      <w:r>
        <w:rPr>
          <w:bCs/>
          <w:iCs/>
          <w:sz w:val="22"/>
          <w:szCs w:val="22"/>
        </w:rPr>
        <w:t>4 Integrate into practice the best use of corneal crosslinking for the treatment of keratoconus and post-refractive surgery ectasia.</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12.00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12.00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J. Rapuano,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Fee-Bio-Tissue|Consulting Fee-Dompé |Consulting Fee-Glaukos Corporation|Consulting Fee-Kala Pharmaceuticals|Consulting Fee-Oyster Point Pharmaceuticals|Consulting Fee-Sun Pharmaceutical Industries|Consulting Fee-TearLab|Honoraria-Dompé  - 10/05/2021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Adam Altman,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Winston D. Chamberlain,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etc.-Oyster Point Pharmaceuticals|Membership on Advisory Committees or Review Panels, Board Membership, etc.-Leo Pharma|Membership on Advisory Committees or Review Panels, Board Membership, etc.-Aslan Pharmceuticals|Advisor-Regeneron|Independent Contractor (included contracted research)-Kowa|Membership on Advisory Committees or Review Panels, Board Membership, etc.-Noveome|Paid consultant-Trefoil Therapeutics - 09/26/2021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Clark Chang,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etc.-Allergan|Speakers Bureau-Dompé |Membership on Advisory Committees or Review Panels, Board Membership, etc.-Eyenovia|Employment-Glaukos Corporation|Speakers Bureau-OCULUS Surgical, Inc.|Membership on Advisory Committees or Review Panels, Board Membership, etc.-Visus Therapeutics - 09/27/2021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Elliot G Cherkas,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B. Ciralsky,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Fee-Novartis-Relationship_has_ended|Consulting Fee-Johnson &amp; Johnson-Relationship_has_ended|Consulting Fee-Novartis-Relationship_has_ended - 10/01/2021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Brenton D. Finklea,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Sadeer B. Hannush,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Aditya Kanesa-thasan,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Peter Laibson,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J Levin,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Parveen K. Nagra,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Glenn J Oh,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Ravi Patel, MD,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Bureau-Allergan - 10/08/2021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Irving M. Raber,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Mitchell P. Weikert,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Fee-Avellino Labs, Inc.|Consulting Fee-Carl Zeiss - 09/24/2021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Brandon D. Ayres,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Fee-Allergan|Consulting Fee-Bausch + Lomb|Consulting Fee-Sun Pharmaceutical Industries|Consulting Fee-Novartis|Consulting Fee-Carl Zeiss|Consulting Fee-Omeros|Consulting Fee-Dompé  - 10/01/2021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M. Hammersmith,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Beeran Meghpara,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Fee-EyeVance Pharmaceuticals|Consulting Fee-Sun Pharmaceutical Industries|Consulting Fee-Kala Pharmaceuticals|Consulting Fee-OCULUS Surgical, Inc.|Consulting Fee-Allergan|Consulting Fee-Sight Sciences|Consulting Fee-CorneaGen|Consulting Fee-Dompé |Consulting Fee-Ocular Therapeutix - 09/30/2021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Zeba A.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Bureau-Bio-Tissue|Grant or research support-Dompé  - 09/27/2021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 Shareholder-Merck - 08/16/2021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