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66395A" w:rsidRPr="00A26F33" w:rsidP="0080402E">
      <w:pPr>
        <w:ind w:left="540" w:right="414"/>
        <w:jc w:val="center"/>
        <w:rPr>
          <w:b/>
          <w:i/>
        </w:rPr>
      </w:pPr>
      <w:r>
        <w:rPr>
          <w:noProof/>
        </w:rPr>
        <w:drawing>
          <wp:inline distT="0" distB="0" distL="0" distR="0">
            <wp:extent cx="1987880" cy="63795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pic:blipFill>
                  <pic:spPr bwMode="auto">
                    <a:xfrm>
                      <a:off x="0" y="0"/>
                      <a:ext cx="1987880" cy="637953"/>
                    </a:xfrm>
                    <a:prstGeom prst="rect">
                      <a:avLst/>
                    </a:prstGeom>
                    <a:noFill/>
                    <a:ln>
                      <a:noFill/>
                    </a:ln>
                  </pic:spPr>
                </pic:pic>
              </a:graphicData>
            </a:graphic>
          </wp:inline>
        </w:drawing>
      </w:r>
    </w:p>
    <w:p w:rsidR="007A216F" w:rsidRPr="00A26F33" w:rsidP="0080402E">
      <w:pPr>
        <w:ind w:left="540" w:right="414"/>
        <w:jc w:val="center"/>
        <w:rPr>
          <w:b/>
          <w:i/>
        </w:rPr>
      </w:pPr>
    </w:p>
    <w:p w:rsidR="00C52893" w:rsidRPr="00806477" w:rsidP="0080402E">
      <w:pPr>
        <w:pBdr>
          <w:top w:val="single" w:sz="12" w:space="1" w:color="auto" w:shadow="1"/>
          <w:left w:val="single" w:sz="12" w:space="4" w:color="auto" w:shadow="1"/>
          <w:bottom w:val="single" w:sz="12" w:space="1" w:color="auto" w:shadow="1"/>
          <w:right w:val="single" w:sz="12" w:space="13" w:color="auto" w:shadow="1"/>
        </w:pBdr>
        <w:ind w:left="540" w:right="414"/>
        <w:jc w:val="center"/>
        <w:rPr>
          <w:b/>
          <w:sz w:val="32"/>
          <w:szCs w:val="32"/>
        </w:rPr>
      </w:pPr>
      <w:r>
        <w:rPr>
          <w:b/>
          <w:sz w:val="32"/>
          <w:szCs w:val="32"/>
        </w:rPr>
        <w:t>Complicated Cataracts Cases: A Multi-Disciplinary Approach 2026</w:t>
      </w:r>
    </w:p>
    <w:p w:rsidR="00DF494A" w:rsidP="0080402E">
      <w:pPr>
        <w:pBdr>
          <w:top w:val="single" w:sz="12" w:space="1" w:color="auto" w:shadow="1"/>
          <w:left w:val="single" w:sz="12" w:space="4" w:color="auto" w:shadow="1"/>
          <w:bottom w:val="single" w:sz="12" w:space="1" w:color="auto" w:shadow="1"/>
          <w:right w:val="single" w:sz="12" w:space="13" w:color="auto" w:shadow="1"/>
        </w:pBdr>
        <w:ind w:left="540" w:right="414"/>
        <w:jc w:val="center"/>
        <w:rPr>
          <w:i/>
          <w:szCs w:val="24"/>
        </w:rPr>
      </w:pPr>
      <w:r w:rsidRPr="00743666">
        <w:rPr>
          <w:b/>
          <w:bCs/>
          <w:szCs w:val="24"/>
        </w:rPr>
        <w:t>Saturday, September 26, 2026</w:t>
      </w:r>
      <w:r w:rsidR="00677A88">
        <w:rPr>
          <w:b/>
          <w:bCs/>
          <w:szCs w:val="24"/>
        </w:rPr>
        <w:fldChar w:fldCharType="begin"/>
      </w:r>
      <w:r w:rsidR="00677A88">
        <w:rPr>
          <w:b/>
          <w:bCs/>
          <w:szCs w:val="24"/>
        </w:rPr>
        <w:instrText xml:space="preserve"> IF </w:instrText>
      </w:r>
      <w:r w:rsidR="00677A88">
        <w:rPr>
          <w:b/>
          <w:bCs/>
          <w:szCs w:val="24"/>
        </w:rPr>
        <w:instrText>"</w:instrText>
      </w:r>
      <w:r w:rsidR="00677A88">
        <w:rPr>
          <w:b/>
          <w:bCs/>
          <w:szCs w:val="24"/>
        </w:rPr>
        <w:instrText>Saturday, September 26, 2026</w:instrText>
      </w:r>
      <w:r w:rsidR="00677A88">
        <w:rPr>
          <w:b/>
          <w:bCs/>
          <w:szCs w:val="24"/>
        </w:rPr>
        <w:instrText>"</w:instrText>
      </w:r>
      <w:r w:rsidR="00677A88">
        <w:rPr>
          <w:b/>
          <w:bCs/>
          <w:szCs w:val="24"/>
        </w:rPr>
        <w:instrText xml:space="preserve"> &lt;&gt; </w:instrText>
      </w:r>
      <w:r w:rsidR="00677A88">
        <w:rPr>
          <w:b/>
          <w:bCs/>
          <w:szCs w:val="24"/>
        </w:rPr>
        <w:instrText>"</w:instrText>
      </w:r>
      <w:r w:rsidR="00677A88">
        <w:rPr>
          <w:b/>
          <w:bCs/>
          <w:szCs w:val="24"/>
        </w:rPr>
        <w:instrText>Saturday, September 26, 2026</w:instrText>
      </w:r>
      <w:r w:rsidR="00677A88">
        <w:rPr>
          <w:b/>
          <w:bCs/>
          <w:szCs w:val="24"/>
        </w:rPr>
        <w:instrText>"</w:instrText>
      </w:r>
      <w:r w:rsidR="00677A88">
        <w:rPr>
          <w:b/>
          <w:bCs/>
          <w:szCs w:val="24"/>
        </w:rPr>
        <w:instrText xml:space="preserve"> " </w:instrText>
      </w:r>
      <w:r w:rsidRPr="00677A88" w:rsidR="00677A88">
        <w:rPr>
          <w:b/>
          <w:bCs/>
          <w:szCs w:val="24"/>
        </w:rPr>
        <w:instrText>—</w:instrText>
      </w:r>
      <w:r w:rsidR="00677A88">
        <w:rPr>
          <w:b/>
          <w:bCs/>
          <w:szCs w:val="24"/>
        </w:rPr>
        <w:instrText xml:space="preserve"> </w:instrText>
      </w:r>
      <w:r w:rsidR="00677A88">
        <w:rPr>
          <w:b/>
          <w:bCs/>
          <w:szCs w:val="24"/>
        </w:rPr>
        <w:fldChar w:fldCharType="begin"/>
      </w:r>
      <w:r w:rsidR="00677A88">
        <w:rPr>
          <w:b/>
          <w:bCs/>
          <w:szCs w:val="24"/>
        </w:rPr>
        <w:instrText xml:space="preserve"> MERGEFIELD EndTime \@ "dddd, MMMM d, yyyy" </w:instrText>
      </w:r>
      <w:r w:rsidR="00677A88">
        <w:rPr>
          <w:b/>
          <w:bCs/>
          <w:szCs w:val="24"/>
        </w:rPr>
        <w:fldChar w:fldCharType="separate"/>
      </w:r>
      <w:r w:rsidR="00922320">
        <w:rPr>
          <w:b/>
          <w:bCs/>
          <w:noProof/>
          <w:szCs w:val="24"/>
        </w:rPr>
        <w:instrText>«EndTime»</w:instrText>
      </w:r>
      <w:r w:rsidR="00677A88">
        <w:rPr>
          <w:b/>
          <w:bCs/>
          <w:szCs w:val="24"/>
        </w:rPr>
        <w:fldChar w:fldCharType="end"/>
      </w:r>
      <w:r w:rsidR="00677A88">
        <w:rPr>
          <w:b/>
          <w:bCs/>
          <w:szCs w:val="24"/>
        </w:rPr>
        <w:instrText xml:space="preserve">" "" </w:instrText>
      </w:r>
      <w:r w:rsidR="00677A88">
        <w:rPr>
          <w:b/>
          <w:bCs/>
          <w:szCs w:val="24"/>
        </w:rPr>
        <w:fldChar w:fldCharType="separate"/>
      </w:r>
      <w:r w:rsidR="00677A88">
        <w:rPr>
          <w:b/>
          <w:bCs/>
          <w:szCs w:val="24"/>
        </w:rPr>
        <w:fldChar w:fldCharType="end"/>
      </w:r>
      <w:r w:rsidR="007C0CF7">
        <w:rPr>
          <w:i/>
          <w:szCs w:val="24"/>
        </w:rPr>
        <w:fldChar w:fldCharType="begin"/>
      </w:r>
      <w:r w:rsidR="007C0CF7">
        <w:rPr>
          <w:i/>
          <w:szCs w:val="24"/>
        </w:rPr>
        <w:instrText xml:space="preserve"> IF </w:instrText>
      </w:r>
      <w:r w:rsidR="007C0CF7">
        <w:rPr>
          <w:i/>
          <w:szCs w:val="24"/>
        </w:rPr>
        <w:instrText>"</w:instrText>
      </w:r>
      <w:r w:rsidR="007C0CF7">
        <w:rPr>
          <w:i/>
          <w:szCs w:val="24"/>
        </w:rPr>
        <w:instrText>Wills Eye Auditorium</w:instrText>
      </w:r>
      <w:r w:rsidR="007C0CF7">
        <w:rPr>
          <w:i/>
          <w:szCs w:val="24"/>
        </w:rPr>
        <w:instrText>"</w:instrText>
      </w:r>
      <w:r w:rsidR="007C0CF7">
        <w:rPr>
          <w:i/>
          <w:szCs w:val="24"/>
        </w:rPr>
        <w:instrText xml:space="preserve"> &lt;&gt; "" "</w:instrText>
      </w:r>
    </w:p>
    <w:p w:rsidR="00922320" w:rsidP="0080402E">
      <w:pPr>
        <w:pBdr>
          <w:top w:val="single" w:sz="12" w:space="1" w:color="auto" w:shadow="1"/>
          <w:left w:val="single" w:sz="12" w:space="4" w:color="auto" w:shadow="1"/>
          <w:bottom w:val="single" w:sz="12" w:space="1" w:color="auto" w:shadow="1"/>
          <w:right w:val="single" w:sz="12" w:space="13" w:color="auto" w:shadow="1"/>
        </w:pBdr>
        <w:ind w:left="540" w:right="414"/>
        <w:jc w:val="center"/>
        <w:rPr>
          <w:i/>
          <w:noProof/>
          <w:szCs w:val="24"/>
        </w:rPr>
      </w:pPr>
      <w:r>
        <w:rPr>
          <w:i/>
          <w:szCs w:val="24"/>
        </w:rPr>
        <w:instrText>Wills Eye Auditorium</w:instrText>
      </w:r>
      <w:r>
        <w:rPr>
          <w:i/>
          <w:szCs w:val="24"/>
        </w:rPr>
        <w:instrText xml:space="preserve">" "" </w:instrText>
      </w:r>
      <w:r>
        <w:rPr>
          <w:i/>
          <w:szCs w:val="24"/>
        </w:rPr>
        <w:fldChar w:fldCharType="separate"/>
      </w:r>
    </w:p>
    <w:p w:rsidR="007C0CF7" w:rsidP="0080402E">
      <w:pPr>
        <w:pBdr>
          <w:top w:val="single" w:sz="12" w:space="1" w:color="auto" w:shadow="1"/>
          <w:left w:val="single" w:sz="12" w:space="4" w:color="auto" w:shadow="1"/>
          <w:bottom w:val="single" w:sz="12" w:space="1" w:color="auto" w:shadow="1"/>
          <w:right w:val="single" w:sz="12" w:space="13" w:color="auto" w:shadow="1"/>
        </w:pBdr>
        <w:ind w:left="540" w:right="414"/>
        <w:jc w:val="center"/>
        <w:rPr>
          <w:i/>
          <w:szCs w:val="24"/>
        </w:rPr>
      </w:pPr>
      <w:r>
        <w:rPr>
          <w:i/>
          <w:szCs w:val="24"/>
        </w:rPr>
        <w:t>Wills Eye Auditorium</w:t>
      </w:r>
      <w:r>
        <w:rPr>
          <w:i/>
          <w:szCs w:val="24"/>
        </w:rPr>
        <w:fldChar w:fldCharType="end"/>
      </w:r>
    </w:p>
    <w:p w:rsidR="00E57967" w:rsidRPr="00806477" w:rsidP="0080402E">
      <w:pPr>
        <w:ind w:left="540" w:right="414"/>
        <w:jc w:val="center"/>
        <w:rPr>
          <w:b/>
          <w:i/>
        </w:rPr>
      </w:pPr>
    </w:p>
    <w:p w:rsidR="00DB066A" w:rsidP="0080402E">
      <w:pPr>
        <w:ind w:left="540" w:right="414"/>
        <w:jc w:val="center"/>
        <w:rPr>
          <w:szCs w:val="24"/>
        </w:rPr>
      </w:pPr>
      <w:r>
        <w:rPr>
          <w:szCs w:val="24"/>
        </w:rPr>
        <w:fldChar w:fldCharType="begin"/>
      </w:r>
      <w:r>
        <w:rPr>
          <w:szCs w:val="24"/>
        </w:rPr>
        <w:instrText xml:space="preserve"> IF </w:instrText>
      </w:r>
      <w:r>
        <w:rPr>
          <w:szCs w:val="24"/>
        </w:rPr>
        <w:instrText xml:space="preserve"> = "" "" "</w:instrText>
      </w:r>
      <w:r w:rsidRPr="00806477">
        <w:rPr>
          <w:szCs w:val="24"/>
        </w:rPr>
        <w:instrText>Program Chair</w:instrText>
      </w:r>
      <w:r>
        <w:rPr>
          <w:szCs w:val="24"/>
        </w:rPr>
        <w:instrText>(s):</w:instrText>
      </w:r>
    </w:p>
    <w:p w:rsidR="003936BF" w:rsidRPr="00042BB4" w:rsidP="0080402E">
      <w:pPr>
        <w:ind w:left="540" w:right="414"/>
        <w:jc w:val="center"/>
        <w:rPr>
          <w:b/>
          <w:sz w:val="28"/>
          <w:szCs w:val="28"/>
        </w:rPr>
      </w:pPr>
    </w:p>
    <w:p w:rsidR="00922320" w:rsidP="0080402E">
      <w:pPr>
        <w:ind w:left="540" w:right="414"/>
        <w:jc w:val="center"/>
        <w:rPr>
          <w:noProof/>
          <w:szCs w:val="24"/>
        </w:rPr>
      </w:pPr>
      <w:r>
        <w:rPr>
          <w:szCs w:val="24"/>
        </w:rPr>
        <w:instrText xml:space="preserve"> "</w:instrText>
      </w:r>
      <w:r>
        <w:rPr>
          <w:szCs w:val="24"/>
        </w:rPr>
        <w:fldChar w:fldCharType="separate"/>
      </w:r>
      <w:r w:rsidR="00422C29">
        <w:rPr>
          <w:szCs w:val="24"/>
        </w:rPr>
        <w:fldChar w:fldCharType="end"/>
      </w:r>
    </w:p>
    <w:p w:rsidR="00634E4F" w:rsidRPr="00634E4F" w:rsidP="00412A04">
      <w:pPr>
        <w:ind w:left="446" w:right="331"/>
        <w:rPr>
          <w:b/>
          <w:iCs/>
          <w:sz w:val="22"/>
          <w:szCs w:val="22"/>
        </w:rPr>
      </w:pPr>
      <w:r w:rsidRPr="00634E4F">
        <w:rPr>
          <w:b/>
          <w:iCs/>
          <w:sz w:val="22"/>
          <w:szCs w:val="22"/>
        </w:rPr>
        <w:t>Conference Description:</w:t>
      </w:r>
    </w:p>
    <w:p w:rsidR="00522A80" w:rsidRPr="00412A04">
      <w:pPr>
        <w:bidi w:val="0"/>
        <w:spacing w:after="280" w:afterAutospacing="1"/>
        <w:rPr>
          <w:bCs/>
          <w:iCs/>
          <w:sz w:val="22"/>
          <w:szCs w:val="18"/>
        </w:rPr>
      </w:pPr>
      <w:r>
        <w:rPr>
          <w:rtl w:val="0"/>
        </w:rPr>
        <w:fldChar w:fldCharType="begin"/>
      </w:r>
      <w:r>
        <w:rPr>
          <w:rtl w:val="0"/>
        </w:rPr>
        <w:instrText xml:space="preserve"> HYPERLINK "https://attendee.gotowebinar.com/register/4051632634575472215" \t "_blank" </w:instrText>
      </w:r>
      <w:r>
        <w:rPr>
          <w:rtl w:val="0"/>
        </w:rPr>
        <w:fldChar w:fldCharType="separate"/>
      </w:r>
      <w:r>
        <w:rPr>
          <w:color w:val="0000FF"/>
          <w:sz w:val="30"/>
          <w:szCs w:val="30"/>
          <w:u w:val="single"/>
          <w:rtl w:val="0"/>
        </w:rPr>
        <w:t>Click here to register for the livestream!</w:t>
      </w:r>
      <w:r>
        <w:rPr>
          <w:rtl w:val="0"/>
        </w:rPr>
        <w:fldChar w:fldCharType="end"/>
      </w:r>
    </w:p>
    <w:p>
      <w:pPr>
        <w:bidi w:val="0"/>
        <w:spacing w:after="280" w:afterAutospacing="1"/>
        <w:rPr>
          <w:rtl w:val="0"/>
        </w:rPr>
      </w:pPr>
      <w:r>
        <w:rPr>
          <w:sz w:val="27"/>
          <w:szCs w:val="27"/>
          <w:rtl w:val="0"/>
        </w:rPr>
        <w:t>Ophthalmologists require improved training on differentiating between visual impairments due to cataracts and corneal diseases. This includes better use of diagnostic tools, such as corneal topography and endothelial cell counts, and the development of tailored management strategies for patients with corneal pathologies undergoing cataract surgery.</w:t>
      </w:r>
    </w:p>
    <w:p>
      <w:pPr>
        <w:bidi w:val="0"/>
        <w:spacing w:after="280" w:afterAutospacing="1"/>
        <w:rPr>
          <w:rtl w:val="0"/>
        </w:rPr>
      </w:pPr>
      <w:r>
        <w:rPr>
          <w:sz w:val="27"/>
          <w:szCs w:val="27"/>
          <w:rtl w:val="0"/>
        </w:rPr>
        <w:t>Surgeons need education on how to integrate glaucoma management with cataract surgery, including adjusting surgical techniques and using combined procedures (e.g., MIGS) to optimize IOP control. There is also a need for training on preoperative planning and appropriate IOL selection in glaucoma patients to improve visual and IOP outcomes.</w:t>
      </w:r>
    </w:p>
    <w:p>
      <w:pPr>
        <w:bidi w:val="0"/>
        <w:spacing w:after="280" w:afterAutospacing="1"/>
        <w:rPr>
          <w:rtl w:val="0"/>
        </w:rPr>
      </w:pPr>
      <w:r>
        <w:rPr>
          <w:sz w:val="27"/>
          <w:szCs w:val="27"/>
          <w:rtl w:val="0"/>
        </w:rPr>
        <w:t>Ophthalmologists must gain knowledge on how retinal conditions affect cataract surgery outcomes, and they should be encouraged to use advanced diagnostic tools like OCT to assess macular health preoperatively. Education on personalized surgical planning-especially in terms of IOL selection and timing of surgery-is essential to meet patient expectations and optimize results.</w:t>
      </w:r>
    </w:p>
    <w:p>
      <w:pPr>
        <w:bidi w:val="0"/>
        <w:spacing w:after="280" w:afterAutospacing="1"/>
        <w:rPr>
          <w:bCs/>
          <w:iCs/>
          <w:sz w:val="22"/>
          <w:szCs w:val="22"/>
        </w:rPr>
      </w:pPr>
      <w:r w:rsidRPr="00522A80" w:rsidR="00AC209D">
        <w:rPr>
          <w:bCs/>
          <w:iCs/>
          <w:sz w:val="22"/>
          <w:szCs w:val="22"/>
        </w:rPr>
        <w:fldChar w:fldCharType="begin"/>
      </w:r>
      <w:r w:rsidRPr="00522A80" w:rsidR="00AC209D">
        <w:rPr>
          <w:bCs/>
          <w:iCs/>
          <w:sz w:val="22"/>
          <w:szCs w:val="22"/>
        </w:rPr>
        <w:instrText xml:space="preserve"> IF </w:instrText>
      </w:r>
      <w:r w:rsidRPr="00522A80" w:rsidR="00522A80">
        <w:rPr>
          <w:bCs/>
          <w:iCs/>
          <w:sz w:val="22"/>
          <w:szCs w:val="22"/>
        </w:rPr>
        <w:instrText>"</w:instrText>
      </w:r>
      <w:r w:rsidRPr="00522A80" w:rsidR="00522A80">
        <w:rPr>
          <w:bCs/>
          <w:iCs/>
          <w:sz w:val="22"/>
          <w:szCs w:val="22"/>
        </w:rPr>
        <w:instrText>1 Analyze challenging cataract surgery cases and evaluate the management of intraoperative and postoperative complications that lead to successful visual outcomes</w:instrText>
      </w:r>
    </w:p>
    <w:p w:rsidR="00AC209D" w:rsidRPr="00522A80">
      <w:pPr>
        <w:bidi w:val="0"/>
        <w:spacing w:after="280" w:afterAutospacing="1"/>
        <w:rPr>
          <w:bCs/>
          <w:iCs/>
          <w:sz w:val="22"/>
          <w:szCs w:val="22"/>
        </w:rPr>
      </w:pPr>
      <w:r w:rsidRPr="00522A80" w:rsidR="00522A80">
        <w:rPr>
          <w:bCs/>
          <w:iCs/>
          <w:sz w:val="22"/>
          <w:szCs w:val="22"/>
        </w:rPr>
        <w:instrText>2 Assess different techniques in approaching complicated corneal cases.</w:instrText>
      </w:r>
    </w:p>
    <w:p w:rsidR="00AC209D" w:rsidRPr="00522A80">
      <w:pPr>
        <w:bidi w:val="0"/>
        <w:spacing w:after="280" w:afterAutospacing="1"/>
        <w:rPr>
          <w:bCs/>
          <w:iCs/>
          <w:sz w:val="22"/>
          <w:szCs w:val="22"/>
        </w:rPr>
      </w:pPr>
      <w:r w:rsidRPr="00522A80" w:rsidR="00522A80">
        <w:rPr>
          <w:bCs/>
          <w:iCs/>
          <w:sz w:val="22"/>
          <w:szCs w:val="22"/>
        </w:rPr>
        <w:instrText>3 Differentiate underlying causes of postoperative complications and improve follow-up management</w:instrText>
      </w:r>
    </w:p>
    <w:p w:rsidR="00AC209D" w:rsidRPr="00522A80">
      <w:pPr>
        <w:bidi w:val="0"/>
        <w:spacing w:after="280" w:afterAutospacing="1"/>
        <w:rPr>
          <w:bCs/>
          <w:iCs/>
          <w:sz w:val="22"/>
          <w:szCs w:val="22"/>
        </w:rPr>
      </w:pPr>
      <w:r w:rsidRPr="00522A80" w:rsidR="00522A80">
        <w:rPr>
          <w:bCs/>
          <w:iCs/>
          <w:sz w:val="22"/>
          <w:szCs w:val="22"/>
        </w:rPr>
        <w:instrText>4 Utilize a multidisciplinary approach for patients who require subspecialty care from multiple teams</w:instrText>
      </w:r>
    </w:p>
    <w:p w:rsidR="00AC209D" w:rsidRPr="00522A80">
      <w:pPr>
        <w:bidi w:val="0"/>
        <w:spacing w:after="280" w:afterAutospacing="1"/>
        <w:rPr>
          <w:bCs/>
          <w:iCs/>
          <w:sz w:val="22"/>
          <w:szCs w:val="22"/>
        </w:rPr>
      </w:pPr>
      <w:r w:rsidRPr="00522A80" w:rsidR="00522A80">
        <w:rPr>
          <w:bCs/>
          <w:iCs/>
          <w:sz w:val="22"/>
          <w:szCs w:val="22"/>
        </w:rPr>
        <w:instrText>5 Plan care for successive treatments in patients requiring more than one procedure</w:instrText>
      </w:r>
      <w:r w:rsidRPr="00522A80" w:rsidR="00522A80">
        <w:rPr>
          <w:bCs/>
          <w:iCs/>
          <w:sz w:val="22"/>
          <w:szCs w:val="22"/>
        </w:rPr>
        <w:instrText>"</w:instrText>
      </w:r>
      <w:r w:rsidRPr="00522A80" w:rsidR="00522A80">
        <w:rPr>
          <w:bCs/>
          <w:iCs/>
          <w:sz w:val="22"/>
          <w:szCs w:val="22"/>
        </w:rPr>
        <w:instrText xml:space="preserve"> &lt;&gt; "" "</w:instrText>
      </w:r>
    </w:p>
    <w:p w:rsidR="00555DB6" w:rsidP="000B10C9">
      <w:pPr>
        <w:ind w:left="450" w:right="324"/>
        <w:rPr>
          <w:b/>
          <w:iCs/>
          <w:sz w:val="22"/>
          <w:szCs w:val="22"/>
        </w:rPr>
      </w:pPr>
    </w:p>
    <w:p w:rsidR="00522A80" w:rsidP="000B10C9">
      <w:pPr>
        <w:ind w:left="450" w:right="324"/>
        <w:rPr>
          <w:bCs/>
          <w:iCs/>
          <w:sz w:val="22"/>
          <w:szCs w:val="22"/>
        </w:rPr>
      </w:pPr>
      <w:r>
        <w:rPr>
          <w:b/>
          <w:iCs/>
          <w:sz w:val="22"/>
          <w:szCs w:val="22"/>
        </w:rPr>
        <w:instrText>At the conclusion of the course, participants should be able to:</w:instrText>
      </w:r>
    </w:p>
    <w:p w:rsidR="00922320" w:rsidRPr="00412A04" w:rsidP="00412A04">
      <w:pPr>
        <w:ind w:left="446" w:right="331"/>
        <w:rPr>
          <w:bCs/>
          <w:iCs/>
          <w:noProof/>
          <w:sz w:val="22"/>
          <w:szCs w:val="18"/>
        </w:rPr>
      </w:pPr>
      <w:r>
        <w:rPr>
          <w:bCs/>
          <w:iCs/>
          <w:sz w:val="22"/>
          <w:szCs w:val="22"/>
        </w:rPr>
        <w:instrText>1 Analyze challenging cataract surgery cases and evaluate the management of intraoperative and postoperative complications that lead to successful visual outcomes</w:instrText>
      </w:r>
    </w:p>
    <w:p w:rsidP="00412A04">
      <w:pPr>
        <w:ind w:left="446" w:right="331"/>
        <w:rPr>
          <w:bCs/>
          <w:iCs/>
          <w:sz w:val="22"/>
          <w:szCs w:val="22"/>
        </w:rPr>
      </w:pPr>
      <w:r>
        <w:rPr>
          <w:bCs/>
          <w:iCs/>
          <w:sz w:val="22"/>
          <w:szCs w:val="22"/>
        </w:rPr>
        <w:instrText>2 Assess different techniques in approaching complicated corneal cases.</w:instrText>
      </w:r>
    </w:p>
    <w:p w:rsidP="00412A04">
      <w:pPr>
        <w:ind w:left="446" w:right="331"/>
        <w:rPr>
          <w:bCs/>
          <w:iCs/>
          <w:sz w:val="22"/>
          <w:szCs w:val="22"/>
        </w:rPr>
      </w:pPr>
      <w:r>
        <w:rPr>
          <w:bCs/>
          <w:iCs/>
          <w:sz w:val="22"/>
          <w:szCs w:val="22"/>
        </w:rPr>
        <w:instrText>3 Differentiate underlying causes of postoperative complications and improve follow-up management</w:instrText>
      </w:r>
    </w:p>
    <w:p w:rsidP="00412A04">
      <w:pPr>
        <w:ind w:left="446" w:right="331"/>
        <w:rPr>
          <w:bCs/>
          <w:iCs/>
          <w:sz w:val="22"/>
          <w:szCs w:val="22"/>
        </w:rPr>
      </w:pPr>
      <w:r>
        <w:rPr>
          <w:bCs/>
          <w:iCs/>
          <w:sz w:val="22"/>
          <w:szCs w:val="22"/>
        </w:rPr>
        <w:instrText>4 Utilize a multidisciplinary approach for patients who require subspecialty care from multiple teams</w:instrText>
      </w:r>
    </w:p>
    <w:p w:rsidP="00412A04">
      <w:pPr>
        <w:ind w:left="446" w:right="331"/>
        <w:rPr>
          <w:bCs/>
          <w:iCs/>
          <w:sz w:val="22"/>
          <w:szCs w:val="22"/>
        </w:rPr>
      </w:pPr>
      <w:r>
        <w:rPr>
          <w:bCs/>
          <w:iCs/>
          <w:sz w:val="22"/>
          <w:szCs w:val="22"/>
        </w:rPr>
        <w:instrText>5 Plan care for successive treatments in patients requiring more than one procedure</w:instrText>
      </w:r>
      <w:r w:rsidRPr="00522A80">
        <w:rPr>
          <w:bCs/>
          <w:iCs/>
          <w:sz w:val="22"/>
          <w:szCs w:val="22"/>
        </w:rPr>
        <w:instrText>" ""</w:instrText>
      </w:r>
      <w:r w:rsidRPr="00522A80" w:rsidR="00AC209D">
        <w:rPr>
          <w:bCs/>
          <w:iCs/>
          <w:sz w:val="22"/>
          <w:szCs w:val="22"/>
        </w:rPr>
        <w:instrText xml:space="preserve"> </w:instrText>
      </w:r>
      <w:r w:rsidRPr="00522A80" w:rsidR="00AC209D">
        <w:rPr>
          <w:bCs/>
          <w:iCs/>
          <w:sz w:val="22"/>
          <w:szCs w:val="22"/>
        </w:rPr>
        <w:fldChar w:fldCharType="separate"/>
      </w:r>
    </w:p>
    <w:p w:rsidR="00555DB6" w:rsidP="000B10C9">
      <w:pPr>
        <w:ind w:left="450" w:right="324"/>
        <w:rPr>
          <w:b/>
          <w:iCs/>
          <w:sz w:val="22"/>
          <w:szCs w:val="22"/>
        </w:rPr>
      </w:pPr>
    </w:p>
    <w:p w:rsidR="00522A80" w:rsidP="000B10C9">
      <w:pPr>
        <w:ind w:left="450" w:right="324"/>
        <w:rPr>
          <w:bCs/>
          <w:iCs/>
          <w:sz w:val="22"/>
          <w:szCs w:val="22"/>
        </w:rPr>
      </w:pPr>
      <w:r>
        <w:rPr>
          <w:b/>
          <w:iCs/>
          <w:sz w:val="22"/>
          <w:szCs w:val="22"/>
        </w:rPr>
        <w:t>At the conclusion of the course, participants should be able to:</w:t>
      </w:r>
    </w:p>
    <w:p w:rsidR="00922320" w:rsidRPr="00412A04" w:rsidP="00412A04">
      <w:pPr>
        <w:ind w:left="446" w:right="331"/>
        <w:rPr>
          <w:bCs/>
          <w:iCs/>
          <w:noProof/>
          <w:sz w:val="22"/>
          <w:szCs w:val="18"/>
        </w:rPr>
      </w:pPr>
      <w:r>
        <w:rPr>
          <w:bCs/>
          <w:iCs/>
          <w:sz w:val="22"/>
          <w:szCs w:val="22"/>
        </w:rPr>
        <w:t>1 Analyze challenging cataract surgery cases and evaluate the management of intraoperative and postoperative complications that lead to successful visual outcomes</w:t>
      </w:r>
    </w:p>
    <w:p w:rsidP="00412A04">
      <w:pPr>
        <w:ind w:left="446" w:right="331"/>
        <w:rPr>
          <w:bCs/>
          <w:iCs/>
          <w:sz w:val="22"/>
          <w:szCs w:val="22"/>
        </w:rPr>
      </w:pPr>
      <w:r>
        <w:rPr>
          <w:bCs/>
          <w:iCs/>
          <w:sz w:val="22"/>
          <w:szCs w:val="22"/>
        </w:rPr>
        <w:t>2 Assess different techniques in approaching complicated corneal cases.</w:t>
      </w:r>
    </w:p>
    <w:p w:rsidP="00412A04">
      <w:pPr>
        <w:ind w:left="446" w:right="331"/>
        <w:rPr>
          <w:bCs/>
          <w:iCs/>
          <w:sz w:val="22"/>
          <w:szCs w:val="22"/>
        </w:rPr>
      </w:pPr>
      <w:r>
        <w:rPr>
          <w:bCs/>
          <w:iCs/>
          <w:sz w:val="22"/>
          <w:szCs w:val="22"/>
        </w:rPr>
        <w:t>3 Differentiate underlying causes of postoperative complications and improve follow-up management</w:t>
      </w:r>
    </w:p>
    <w:p w:rsidP="00412A04">
      <w:pPr>
        <w:ind w:left="446" w:right="331"/>
        <w:rPr>
          <w:bCs/>
          <w:iCs/>
          <w:sz w:val="22"/>
          <w:szCs w:val="22"/>
        </w:rPr>
      </w:pPr>
      <w:r>
        <w:rPr>
          <w:bCs/>
          <w:iCs/>
          <w:sz w:val="22"/>
          <w:szCs w:val="22"/>
        </w:rPr>
        <w:t>4 Utilize a multidisciplinary approach for patients who require subspecialty care from multiple teams</w:t>
      </w:r>
    </w:p>
    <w:p w:rsidR="00AC209D" w:rsidRPr="00522A80" w:rsidP="00412A04">
      <w:pPr>
        <w:ind w:left="446" w:right="331"/>
        <w:rPr>
          <w:bCs/>
          <w:iCs/>
          <w:sz w:val="22"/>
          <w:szCs w:val="22"/>
        </w:rPr>
      </w:pPr>
      <w:r>
        <w:rPr>
          <w:bCs/>
          <w:iCs/>
          <w:sz w:val="22"/>
          <w:szCs w:val="22"/>
        </w:rPr>
        <w:t>5 Plan care for successive treatments in patients requiring more than one procedure</w:t>
      </w:r>
      <w:r w:rsidRPr="00522A80">
        <w:rPr>
          <w:bCs/>
          <w:iCs/>
          <w:sz w:val="22"/>
          <w:szCs w:val="22"/>
        </w:rPr>
        <w:fldChar w:fldCharType="end"/>
      </w:r>
    </w:p>
    <w:p w:rsidR="002C184B" w:rsidP="00555DB6">
      <w:pPr>
        <w:ind w:left="450" w:right="288"/>
        <w:rPr>
          <w:sz w:val="22"/>
          <w:szCs w:val="22"/>
        </w:rPr>
        <w:sectPr w:rsidSect="00F3738C">
          <w:type w:val="continuous"/>
          <w:pgSz w:w="12240" w:h="15840"/>
          <w:pgMar w:top="720" w:right="900" w:bottom="864" w:left="576" w:header="720" w:footer="720" w:gutter="0"/>
          <w:pgBorders w:offsetFrom="page">
            <w:top w:val="double" w:sz="4" w:space="24" w:color="auto" w:shadow="1"/>
            <w:left w:val="double" w:sz="4" w:space="24" w:color="auto" w:shadow="1"/>
            <w:bottom w:val="double" w:sz="4" w:space="24" w:color="auto" w:shadow="1"/>
            <w:right w:val="double" w:sz="4" w:space="24" w:color="auto" w:shadow="1"/>
          </w:pgBorders>
          <w:cols w:space="720"/>
          <w:docGrid w:linePitch="360"/>
        </w:sectPr>
      </w:pPr>
    </w:p>
    <w:p w:rsidR="002C184B" w:rsidP="00555DB6">
      <w:pPr>
        <w:spacing w:line="240" w:lineRule="exact"/>
        <w:ind w:right="-36"/>
        <w:rPr>
          <w:b/>
          <w:sz w:val="22"/>
          <w:szCs w:val="22"/>
        </w:rPr>
      </w:pPr>
    </w:p>
    <w:p w:rsidR="008A53FF" w:rsidRPr="00806477" w:rsidP="0022334C">
      <w:pPr>
        <w:spacing w:line="240" w:lineRule="exact"/>
        <w:ind w:left="450" w:right="-36"/>
        <w:rPr>
          <w:b/>
          <w:sz w:val="22"/>
          <w:szCs w:val="22"/>
        </w:rPr>
      </w:pPr>
      <w:r w:rsidRPr="00806477">
        <w:rPr>
          <w:b/>
          <w:sz w:val="22"/>
          <w:szCs w:val="22"/>
        </w:rPr>
        <w:t xml:space="preserve">Accreditation Statement:  </w:t>
      </w:r>
    </w:p>
    <w:p w:rsidR="00681A56" w:rsidP="00090473">
      <w:pPr>
        <w:spacing w:line="240" w:lineRule="exact"/>
        <w:ind w:left="450" w:right="-36"/>
        <w:rPr>
          <w:sz w:val="22"/>
          <w:szCs w:val="22"/>
        </w:rPr>
      </w:pPr>
      <w:r w:rsidRPr="00806477">
        <w:rPr>
          <w:sz w:val="22"/>
          <w:szCs w:val="22"/>
        </w:rPr>
        <w:t xml:space="preserve">The Wills Eye </w:t>
      </w:r>
      <w:r w:rsidRPr="00806477" w:rsidR="0066395A">
        <w:rPr>
          <w:sz w:val="22"/>
          <w:szCs w:val="22"/>
        </w:rPr>
        <w:t>Hospital</w:t>
      </w:r>
      <w:r w:rsidRPr="00806477">
        <w:rPr>
          <w:sz w:val="22"/>
          <w:szCs w:val="22"/>
        </w:rPr>
        <w:t xml:space="preserve"> is ac</w:t>
      </w:r>
      <w:bookmarkStart w:id="0" w:name="_GoBack"/>
      <w:bookmarkEnd w:id="0"/>
      <w:r w:rsidRPr="00806477">
        <w:rPr>
          <w:sz w:val="22"/>
          <w:szCs w:val="22"/>
        </w:rPr>
        <w:t xml:space="preserve">credited by the </w:t>
      </w:r>
      <w:r w:rsidR="00582689">
        <w:rPr>
          <w:sz w:val="22"/>
          <w:szCs w:val="22"/>
        </w:rPr>
        <w:t>Accreditation Council for Continuing Medical Education</w:t>
      </w:r>
      <w:r w:rsidR="00F8681C">
        <w:rPr>
          <w:sz w:val="22"/>
          <w:szCs w:val="22"/>
        </w:rPr>
        <w:t xml:space="preserve"> (ACCME)</w:t>
      </w:r>
      <w:r w:rsidRPr="00806477">
        <w:rPr>
          <w:sz w:val="22"/>
          <w:szCs w:val="22"/>
        </w:rPr>
        <w:t xml:space="preserve"> to provide continuing medical education for physicians. </w:t>
      </w:r>
    </w:p>
    <w:p w:rsidR="00681A56" w:rsidP="00090473">
      <w:pPr>
        <w:spacing w:line="240" w:lineRule="exact"/>
        <w:ind w:left="450" w:right="-36"/>
        <w:rPr>
          <w:sz w:val="22"/>
          <w:szCs w:val="22"/>
        </w:rPr>
      </w:pPr>
    </w:p>
    <w:p w:rsidR="00681A56" w:rsidRPr="00681A56" w:rsidP="00090473">
      <w:pPr>
        <w:spacing w:line="240" w:lineRule="exact"/>
        <w:ind w:left="450" w:right="-36"/>
        <w:rPr>
          <w:b/>
          <w:sz w:val="22"/>
          <w:szCs w:val="22"/>
        </w:rPr>
      </w:pPr>
      <w:r w:rsidRPr="00681A56">
        <w:rPr>
          <w:b/>
          <w:sz w:val="22"/>
          <w:szCs w:val="22"/>
        </w:rPr>
        <w:t>Credit Statement Designation</w:t>
      </w:r>
      <w:r>
        <w:rPr>
          <w:b/>
          <w:sz w:val="22"/>
          <w:szCs w:val="22"/>
        </w:rPr>
        <w:t>:</w:t>
      </w:r>
    </w:p>
    <w:p w:rsidR="00090473" w:rsidP="00090473">
      <w:pPr>
        <w:spacing w:line="240" w:lineRule="exact"/>
        <w:ind w:left="450" w:right="-36"/>
        <w:rPr>
          <w:sz w:val="22"/>
          <w:szCs w:val="22"/>
        </w:rPr>
      </w:pPr>
      <w:r w:rsidRPr="00806477">
        <w:rPr>
          <w:sz w:val="22"/>
          <w:szCs w:val="22"/>
        </w:rPr>
        <w:t xml:space="preserve">Wills Eye </w:t>
      </w:r>
      <w:r w:rsidRPr="00806477" w:rsidR="000739BD">
        <w:rPr>
          <w:sz w:val="22"/>
          <w:szCs w:val="22"/>
        </w:rPr>
        <w:t>Hospital</w:t>
      </w:r>
      <w:r w:rsidRPr="00806477">
        <w:rPr>
          <w:sz w:val="22"/>
          <w:szCs w:val="22"/>
        </w:rPr>
        <w:t xml:space="preserve"> designates this </w:t>
      </w:r>
      <w:r w:rsidR="008A6288">
        <w:rPr>
          <w:sz w:val="22"/>
          <w:szCs w:val="22"/>
        </w:rPr>
        <w:t>Live Activity</w:t>
      </w:r>
      <w:r w:rsidRPr="00806477">
        <w:rPr>
          <w:sz w:val="22"/>
          <w:szCs w:val="22"/>
        </w:rPr>
        <w:t xml:space="preserve"> for a maximum of </w:t>
      </w:r>
      <w:r w:rsidR="00922320">
        <w:rPr>
          <w:noProof/>
          <w:sz w:val="22"/>
          <w:szCs w:val="22"/>
        </w:rPr>
        <w:t>3.25</w:t>
      </w:r>
      <w:r w:rsidRPr="00806477">
        <w:rPr>
          <w:sz w:val="22"/>
          <w:szCs w:val="22"/>
        </w:rPr>
        <w:t xml:space="preserve"> </w:t>
      </w:r>
      <w:r w:rsidRPr="00806477">
        <w:rPr>
          <w:i/>
          <w:sz w:val="22"/>
          <w:szCs w:val="22"/>
        </w:rPr>
        <w:t>AMA PRA Category 1 Credits</w:t>
      </w:r>
      <w:r w:rsidRPr="00806477">
        <w:rPr>
          <w:i/>
          <w:sz w:val="22"/>
          <w:szCs w:val="22"/>
          <w:vertAlign w:val="superscript"/>
        </w:rPr>
        <w:t>™</w:t>
      </w:r>
      <w:r w:rsidRPr="00806477">
        <w:rPr>
          <w:sz w:val="22"/>
          <w:szCs w:val="22"/>
        </w:rPr>
        <w:t>.  Physicians should claim only the credit commensurate with the extent of their participation in the activity.</w:t>
      </w:r>
      <w:r w:rsidR="00666F77">
        <w:rPr>
          <w:sz w:val="22"/>
          <w:szCs w:val="22"/>
        </w:rPr>
        <w:fldChar w:fldCharType="begin"/>
      </w:r>
      <w:r w:rsidR="00666F77">
        <w:rPr>
          <w:sz w:val="22"/>
          <w:szCs w:val="22"/>
        </w:rPr>
        <w:instrText xml:space="preserve"> IF </w:instrText>
      </w:r>
      <w:r w:rsidR="00666F77">
        <w:rPr>
          <w:sz w:val="22"/>
          <w:szCs w:val="22"/>
        </w:rPr>
        <w:instrText>0.00</w:instrText>
      </w:r>
      <w:r w:rsidR="00666F77">
        <w:rPr>
          <w:sz w:val="22"/>
          <w:szCs w:val="22"/>
        </w:rPr>
        <w:instrText xml:space="preserve"> &gt; 0 "</w:instrText>
      </w:r>
    </w:p>
    <w:p w:rsidR="00090473" w:rsidP="00090473">
      <w:pPr>
        <w:spacing w:line="240" w:lineRule="exact"/>
        <w:ind w:left="450" w:right="-36"/>
        <w:rPr>
          <w:sz w:val="22"/>
          <w:szCs w:val="22"/>
        </w:rPr>
      </w:pPr>
    </w:p>
    <w:p w:rsidR="00090473" w:rsidP="00090473">
      <w:pPr>
        <w:spacing w:line="240" w:lineRule="exact"/>
        <w:ind w:left="450" w:right="-36"/>
        <w:rPr>
          <w:sz w:val="22"/>
          <w:szCs w:val="22"/>
        </w:rPr>
      </w:pPr>
      <w:r>
        <w:rPr>
          <w:b/>
          <w:bCs/>
          <w:sz w:val="22"/>
          <w:szCs w:val="22"/>
        </w:rPr>
        <w:instrText>MOC Statement</w:instrText>
      </w:r>
    </w:p>
    <w:p w:rsidR="00A5027A" w:rsidP="00A5027A">
      <w:pPr>
        <w:spacing w:line="240" w:lineRule="exact"/>
        <w:ind w:left="450" w:right="-36"/>
        <w:rPr>
          <w:sz w:val="22"/>
          <w:szCs w:val="22"/>
        </w:rPr>
      </w:pPr>
      <w:r w:rsidRPr="00090473">
        <w:rPr>
          <w:sz w:val="22"/>
          <w:szCs w:val="22"/>
        </w:rPr>
        <w:instrText>Successful completion of this CME activity, which includes participation in the evaluation component, enables the learner to satisfy the Lifelong Learning, Self-Assessment, Improvement in Medical Practice and/or Patient Safety requirements for the American Board of Ophthalmology’s Continuing Certification program. It is the CME activity provider's responsibility to submit learner completion information to ACCME for the purpose of granting credit.</w:instrText>
      </w:r>
      <w:r w:rsidR="00666F77">
        <w:rPr>
          <w:sz w:val="22"/>
          <w:szCs w:val="22"/>
        </w:rPr>
        <w:instrText>"</w:instrText>
      </w:r>
      <w:r>
        <w:rPr>
          <w:sz w:val="22"/>
          <w:szCs w:val="22"/>
        </w:rPr>
        <w:instrText xml:space="preserve"> ""</w:instrText>
      </w:r>
      <w:r w:rsidR="00666F77">
        <w:rPr>
          <w:sz w:val="22"/>
          <w:szCs w:val="22"/>
        </w:rPr>
        <w:instrText xml:space="preserve"> </w:instrText>
      </w:r>
      <w:r w:rsidR="00666F77">
        <w:rPr>
          <w:sz w:val="22"/>
          <w:szCs w:val="22"/>
        </w:rPr>
        <w:fldChar w:fldCharType="separate"/>
      </w:r>
      <w:r w:rsidR="00666F77">
        <w:rPr>
          <w:sz w:val="22"/>
          <w:szCs w:val="22"/>
        </w:rPr>
        <w:fldChar w:fldCharType="end"/>
      </w:r>
    </w:p>
    <w:p w:rsidR="00A5027A" w:rsidRPr="00A5027A" w:rsidP="00A5027A">
      <w:pPr>
        <w:spacing w:line="240" w:lineRule="exact"/>
        <w:ind w:left="450" w:right="-36"/>
        <w:rPr>
          <w:sz w:val="22"/>
          <w:szCs w:val="22"/>
        </w:rPr>
      </w:pPr>
    </w:p>
    <w:p w:rsidR="008A53FF" w:rsidRPr="00806477" w:rsidP="0022334C">
      <w:pPr>
        <w:ind w:left="450" w:right="-36"/>
        <w:rPr>
          <w:sz w:val="22"/>
          <w:szCs w:val="22"/>
        </w:rPr>
      </w:pPr>
      <w:r>
        <w:rPr>
          <w:b/>
          <w:sz w:val="22"/>
          <w:szCs w:val="22"/>
        </w:rPr>
        <w:t>Disclosure Statement:</w:t>
      </w:r>
    </w:p>
    <w:p w:rsidR="00B95720" w:rsidP="00B95720">
      <w:pPr>
        <w:ind w:left="450" w:right="288"/>
        <w:rPr>
          <w:sz w:val="22"/>
          <w:szCs w:val="22"/>
        </w:rPr>
      </w:pPr>
      <w:r>
        <w:rPr>
          <w:sz w:val="22"/>
          <w:szCs w:val="22"/>
        </w:rPr>
        <w:t xml:space="preserve">It </w:t>
      </w:r>
      <w:r w:rsidRPr="00EF70BB">
        <w:rPr>
          <w:sz w:val="22"/>
          <w:szCs w:val="22"/>
        </w:rPr>
        <w:t>is the policy of Wills Eye Hospital that the information presented at Wills Eye Hospital's CME activities will be commercially unbiased and based on scientific and clinical evidence. To help participants make judgments about the presence of commercial bias, Wills Eye Hospital provide</w:t>
      </w:r>
      <w:r>
        <w:rPr>
          <w:sz w:val="22"/>
          <w:szCs w:val="22"/>
        </w:rPr>
        <w:t>s</w:t>
      </w:r>
      <w:r w:rsidRPr="00EF70BB">
        <w:rPr>
          <w:sz w:val="22"/>
          <w:szCs w:val="22"/>
        </w:rPr>
        <w:t xml:space="preserve"> information that planners and speakers have disclosed about financial relationships they have with commercial entities that produce, market, re-sell</w:t>
      </w:r>
      <w:r>
        <w:rPr>
          <w:sz w:val="22"/>
          <w:szCs w:val="22"/>
        </w:rPr>
        <w:t>, or distribute</w:t>
      </w:r>
      <w:r w:rsidRPr="00EF70BB">
        <w:rPr>
          <w:sz w:val="22"/>
          <w:szCs w:val="22"/>
        </w:rPr>
        <w:t xml:space="preserve"> health care goods or services consumed by, or used on, patients. </w:t>
      </w:r>
      <w:r w:rsidR="00E7354D">
        <w:rPr>
          <w:sz w:val="22"/>
          <w:szCs w:val="22"/>
        </w:rPr>
        <w:t>All relevant financial relationships have been mitigated.</w:t>
      </w:r>
    </w:p>
    <w:p w:rsidR="00555DB6" w:rsidP="00B95720">
      <w:pPr>
        <w:ind w:left="450" w:right="288"/>
        <w:rPr>
          <w:sz w:val="22"/>
          <w:szCs w:val="22"/>
        </w:rPr>
      </w:pPr>
    </w:p>
    <w:p w:rsidR="00244E48" w:rsidP="00422C29">
      <w:pPr>
        <w:ind w:left="450" w:right="288" w:firstLine="270"/>
        <w:rPr>
          <w:b/>
          <w:szCs w:val="24"/>
          <w:u w:val="single"/>
        </w:rPr>
        <w:sectPr w:rsidSect="00F3738C">
          <w:type w:val="continuous"/>
          <w:pgSz w:w="12240" w:h="15840"/>
          <w:pgMar w:top="720" w:right="900" w:bottom="864" w:left="576" w:header="720" w:footer="720" w:gutter="0"/>
          <w:pgBorders w:offsetFrom="page">
            <w:top w:val="double" w:sz="4" w:space="24" w:color="auto" w:shadow="1"/>
            <w:left w:val="double" w:sz="4" w:space="24" w:color="auto" w:shadow="1"/>
            <w:bottom w:val="double" w:sz="4" w:space="24" w:color="auto" w:shadow="1"/>
            <w:right w:val="double" w:sz="4" w:space="24" w:color="auto" w:shadow="1"/>
          </w:pgBorders>
          <w:cols w:space="720"/>
          <w:docGrid w:linePitch="360"/>
        </w:sect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024"/>
        <w:gridCol w:w="3024"/>
        <w:gridCol w:w="4032"/>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C Anhalt,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Advisor-Johnson &amp; Johnson (Relationship has ended)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Ayan Chatterjee,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Fee-Iantrek and RxSight (Relationship has ended) - 08/18/2026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Drew Chronister,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Brenton D. Finklea,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Alessandra K Intili,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McGowan,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Anton Orlin,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etc.-Allergan (Relationship has ended)|Membership on Advisory Committees or Review Panels, Board Membership, etc.-Zeiss (Relationship has ended)|Membership on Advisory Committees or Review Panels, Board Membership, etc.-Genentech (Relationship has ended)|Membership on Advisory Committees or Review Panels, Board Membership, etc.-Apellis Pharmaceuticals (Relationship has ended) - 03/03/2026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Pro,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Fee-Alcon (Relationship has ended)|Honoraria-Glaukos Corporation|Consulting Fee-New World Medical - 01/25/2026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F Pyfer,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etc.-Johnson &amp; Johnson|Paid consultant-Johnson &amp; Johnson|Independent Contractor (included contracted research)-Sight Sciences (Relationship has ended)|Speakers Bureau-Sight Sciences|Speakers Bureau-Rayner Surgical|Independent Contractor (included contracted research)-Tarsus (Relationship has ended)|Speakers Bureau-Tarsus|Advisor-Glaukos Corporation - 09/26/2026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Reza Razeghinejad,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support-Olleyes (Relationship has ended)|Grant or research support-Equinox (Relationship has ended)|Grant or research support-Allergan - 03/09/2026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Melissa Sieber,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Janine G Tabas,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Richard Tipperman,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Advisor-Alcon - 02/17/2026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Joshua H Uhr,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Public Corp Stock-Apellis Pharmaceuticals|Consulting Fee-Bausch + Lomb - 01/30/2026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Brett Weinstock,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bl>
    <w:p w:rsidR="00B95720" w:rsidRPr="002C184B">
      <w:pPr>
        <w:bidi w:val="0"/>
        <w:spacing w:after="280" w:afterAutospacing="1"/>
        <w:rPr>
          <w:b/>
          <w:szCs w:val="24"/>
          <w:u w:val="single"/>
        </w:rPr>
      </w:pPr>
    </w:p>
    <w:p w:rsidR="00B46632" w:rsidP="00EF70BB">
      <w:pPr>
        <w:ind w:left="450" w:right="-36"/>
        <w:rPr>
          <w:sz w:val="22"/>
          <w:szCs w:val="22"/>
        </w:rPr>
      </w:pPr>
    </w:p>
    <w:p w:rsidR="00244E48" w:rsidP="00EF70BB">
      <w:pPr>
        <w:ind w:left="450" w:right="-36"/>
        <w:rPr>
          <w:sz w:val="22"/>
          <w:szCs w:val="22"/>
        </w:rPr>
        <w:sectPr w:rsidSect="00F3738C">
          <w:type w:val="continuous"/>
          <w:pgSz w:w="12240" w:h="15840"/>
          <w:pgMar w:top="720" w:right="1044" w:bottom="864" w:left="1026" w:header="720" w:footer="720" w:gutter="0"/>
          <w:pgBorders w:offsetFrom="page">
            <w:top w:val="double" w:sz="4" w:space="24" w:color="auto" w:shadow="1"/>
            <w:left w:val="double" w:sz="4" w:space="24" w:color="auto" w:shadow="1"/>
            <w:bottom w:val="double" w:sz="4" w:space="24" w:color="auto" w:shadow="1"/>
            <w:right w:val="double" w:sz="4" w:space="24" w:color="auto" w:shadow="1"/>
          </w:pgBorders>
          <w:cols w:space="720"/>
          <w:docGrid w:linePitch="360"/>
        </w:sectPr>
      </w:pPr>
    </w:p>
    <w:p w:rsidR="00B95720" w:rsidRPr="00EF70BB" w:rsidP="00EF70BB">
      <w:pPr>
        <w:ind w:left="450" w:right="-36"/>
        <w:rPr>
          <w:sz w:val="22"/>
          <w:szCs w:val="22"/>
        </w:rPr>
      </w:pPr>
      <w:r>
        <w:rPr>
          <w:noProof/>
        </w:rPr>
        <w:drawing>
          <wp:anchor distT="0" distB="0" distL="114300" distR="114300" simplePos="0" relativeHeight="251658240" behindDoc="0" locked="0" layoutInCell="1" allowOverlap="1">
            <wp:simplePos x="0" y="0"/>
            <wp:positionH relativeFrom="page">
              <wp:posOffset>3571875</wp:posOffset>
            </wp:positionH>
            <wp:positionV relativeFrom="page">
              <wp:posOffset>8915400</wp:posOffset>
            </wp:positionV>
            <wp:extent cx="630936" cy="630936"/>
            <wp:effectExtent l="0" t="0" r="444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6" cstate="print">
                      <a:extLst>
                        <a:ext uri="{28A0092B-C50C-407E-A947-70E740481C1C}">
                          <a14:useLocalDpi xmlns:a14="http://schemas.microsoft.com/office/drawing/2010/main" val="0"/>
                        </a:ext>
                      </a:extLst>
                    </a:blip>
                    <a:srcRect/>
                    <a:stretch>
                      <a:fillRect/>
                    </a:stretch>
                  </pic:blipFill>
                  <pic:spPr bwMode="auto">
                    <a:xfrm>
                      <a:off x="0" y="0"/>
                      <a:ext cx="630936" cy="630936"/>
                    </a:xfrm>
                    <a:prstGeom prst="rect">
                      <a:avLst/>
                    </a:prstGeom>
                    <a:noFill/>
                    <a:ln>
                      <a:noFill/>
                    </a:ln>
                  </pic:spPr>
                </pic:pic>
              </a:graphicData>
            </a:graphic>
          </wp:anchor>
        </w:drawing>
      </w:r>
    </w:p>
    <w:sectPr w:rsidSect="00F3738C">
      <w:type w:val="continuous"/>
      <w:pgSz w:w="12240" w:h="15840"/>
      <w:pgMar w:top="720" w:right="900" w:bottom="864" w:left="576" w:header="720" w:footer="720" w:gutter="0"/>
      <w:pgBorders w:offsetFrom="page">
        <w:top w:val="double" w:sz="4" w:space="24" w:color="auto" w:shadow="1"/>
        <w:left w:val="double" w:sz="4" w:space="24" w:color="auto" w:shadow="1"/>
        <w:bottom w:val="double" w:sz="4" w:space="24" w:color="auto" w:shadow="1"/>
        <w:right w:val="doub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D20E12"/>
    <w:multiLevelType w:val="hybridMultilevel"/>
    <w:tmpl w:val="4A1EF7FE"/>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
    <w:nsid w:val="46393893"/>
    <w:multiLevelType w:val="hybridMultilevel"/>
    <w:tmpl w:val="1E0289A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5E6D4C99"/>
    <w:multiLevelType w:val="hybridMultilevel"/>
    <w:tmpl w:val="9A54FFFA"/>
    <w:lvl w:ilvl="0">
      <w:start w:val="0"/>
      <w:numFmt w:val="bullet"/>
      <w:lvlText w:val="-"/>
      <w:lvlJc w:val="left"/>
      <w:pPr>
        <w:ind w:left="720" w:hanging="360"/>
      </w:pPr>
      <w:rPr>
        <w:rFonts w:ascii="Times New Roman" w:eastAsia="Times New Roman" w:hAnsi="Times New Roman" w:cs="Times New Roman" w:hint="default"/>
        <w:i w:val="0"/>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6D5E0787"/>
    <w:multiLevelType w:val="hybridMultilevel"/>
    <w:tmpl w:val="CCF468A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1FA143B-070F-48B4-9976-1DE4E7EB1B65}"/>
    <w:docVar w:name="dgnword-eventsink" w:val="2817708576432"/>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5289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7A216F"/>
    <w:pPr>
      <w:keepNext/>
      <w:outlineLvl w:val="0"/>
    </w:pPr>
    <w:rPr>
      <w:b/>
      <w:bCs/>
      <w:szCs w:val="24"/>
    </w:rPr>
  </w:style>
  <w:style w:type="paragraph" w:styleId="Heading2">
    <w:name w:val="heading 2"/>
    <w:basedOn w:val="Normal"/>
    <w:next w:val="Normal"/>
    <w:link w:val="Heading2Char"/>
    <w:qFormat/>
    <w:rsid w:val="007A216F"/>
    <w:pPr>
      <w:keepNext/>
      <w:jc w:val="center"/>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52893"/>
    <w:rPr>
      <w:color w:val="0000FF"/>
      <w:u w:val="single"/>
    </w:rPr>
  </w:style>
  <w:style w:type="character" w:customStyle="1" w:styleId="Heading1Char">
    <w:name w:val="Heading 1 Char"/>
    <w:basedOn w:val="DefaultParagraphFont"/>
    <w:link w:val="Heading1"/>
    <w:rsid w:val="007A216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7A216F"/>
    <w:rPr>
      <w:rFonts w:ascii="Times New Roman" w:eastAsia="Times New Roman" w:hAnsi="Times New Roman" w:cs="Times New Roman"/>
      <w:b/>
      <w:bCs/>
      <w:sz w:val="24"/>
      <w:szCs w:val="24"/>
    </w:rPr>
  </w:style>
  <w:style w:type="paragraph" w:styleId="ListParagraph">
    <w:name w:val="List Paragraph"/>
    <w:basedOn w:val="Normal"/>
    <w:uiPriority w:val="34"/>
    <w:qFormat/>
    <w:rsid w:val="00E57967"/>
    <w:pPr>
      <w:ind w:left="720"/>
      <w:contextualSpacing/>
    </w:pPr>
  </w:style>
  <w:style w:type="paragraph" w:styleId="BalloonText">
    <w:name w:val="Balloon Text"/>
    <w:basedOn w:val="Normal"/>
    <w:link w:val="BalloonTextChar"/>
    <w:uiPriority w:val="99"/>
    <w:semiHidden/>
    <w:unhideWhenUsed/>
    <w:rsid w:val="00B46632"/>
    <w:rPr>
      <w:rFonts w:ascii="Tahoma" w:hAnsi="Tahoma" w:cs="Tahoma"/>
      <w:sz w:val="16"/>
      <w:szCs w:val="16"/>
    </w:rPr>
  </w:style>
  <w:style w:type="character" w:customStyle="1" w:styleId="BalloonTextChar">
    <w:name w:val="Balloon Text Char"/>
    <w:basedOn w:val="DefaultParagraphFont"/>
    <w:link w:val="BalloonText"/>
    <w:uiPriority w:val="99"/>
    <w:semiHidden/>
    <w:rsid w:val="00B46632"/>
    <w:rPr>
      <w:rFonts w:ascii="Tahoma" w:eastAsia="Times New Roman" w:hAnsi="Tahoma" w:cs="Tahoma"/>
      <w:sz w:val="16"/>
      <w:szCs w:val="16"/>
    </w:rPr>
  </w:style>
  <w:style w:type="paragraph" w:styleId="Header">
    <w:name w:val="header"/>
    <w:basedOn w:val="Normal"/>
    <w:link w:val="HeaderChar"/>
    <w:uiPriority w:val="99"/>
    <w:unhideWhenUsed/>
    <w:rsid w:val="007C36D5"/>
    <w:pPr>
      <w:tabs>
        <w:tab w:val="center" w:pos="4680"/>
        <w:tab w:val="right" w:pos="9360"/>
      </w:tabs>
    </w:pPr>
  </w:style>
  <w:style w:type="character" w:customStyle="1" w:styleId="HeaderChar">
    <w:name w:val="Header Char"/>
    <w:basedOn w:val="DefaultParagraphFont"/>
    <w:link w:val="Header"/>
    <w:uiPriority w:val="99"/>
    <w:rsid w:val="007C36D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C36D5"/>
    <w:pPr>
      <w:tabs>
        <w:tab w:val="center" w:pos="4680"/>
        <w:tab w:val="right" w:pos="9360"/>
      </w:tabs>
    </w:pPr>
  </w:style>
  <w:style w:type="character" w:customStyle="1" w:styleId="FooterChar">
    <w:name w:val="Footer Char"/>
    <w:basedOn w:val="DefaultParagraphFont"/>
    <w:link w:val="Footer"/>
    <w:uiPriority w:val="99"/>
    <w:rsid w:val="007C36D5"/>
    <w:rPr>
      <w:rFonts w:ascii="Times New Roman" w:eastAsia="Times New Roman" w:hAnsi="Times New Roman" w:cs="Times New Roman"/>
      <w:sz w:val="24"/>
      <w:szCs w:val="20"/>
    </w:rPr>
  </w:style>
  <w:style w:type="paragraph" w:styleId="NoSpacing">
    <w:name w:val="No Spacing"/>
    <w:uiPriority w:val="1"/>
    <w:qFormat/>
    <w:rsid w:val="00666F77"/>
    <w:pPr>
      <w:spacing w:after="0" w:line="240" w:lineRule="auto"/>
    </w:pPr>
    <w:rPr>
      <w:rFonts w:ascii="Times New Roman" w:eastAsia="Times New Roman" w:hAnsi="Times New Roman" w:cs="Times New Roman"/>
      <w:sz w:val="24"/>
      <w:szCs w:val="20"/>
    </w:rPr>
  </w:style>
  <w:style w:type="table" w:styleId="TableGrid">
    <w:name w:val="Table Grid"/>
    <w:basedOn w:val="TableNormal"/>
    <w:uiPriority w:val="59"/>
    <w:rsid w:val="00666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FD1086-7A83-4BEE-8755-A975D081C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Manes</dc:creator>
  <cp:lastModifiedBy>Shaunna Lee</cp:lastModifiedBy>
  <cp:revision>4</cp:revision>
  <cp:lastPrinted>2015-01-15T13:54:00Z</cp:lastPrinted>
  <dcterms:created xsi:type="dcterms:W3CDTF">2025-01-02T16:25:00Z</dcterms:created>
  <dcterms:modified xsi:type="dcterms:W3CDTF">2025-07-30T16:54:00Z</dcterms:modified>
</cp:coreProperties>
</file>