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66395A" w:rsidRPr="00A26F33" w:rsidP="0080402E">
      <w:pPr>
        <w:ind w:left="540" w:right="414"/>
        <w:jc w:val="center"/>
        <w:rPr>
          <w:b/>
          <w:i/>
        </w:rPr>
      </w:pPr>
      <w:r>
        <w:rPr>
          <w:noProof/>
        </w:rPr>
        <w:drawing>
          <wp:inline distT="0" distB="0" distL="0" distR="0">
            <wp:extent cx="1987880" cy="637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1987880" cy="637953"/>
                    </a:xfrm>
                    <a:prstGeom prst="rect">
                      <a:avLst/>
                    </a:prstGeom>
                    <a:noFill/>
                    <a:ln>
                      <a:noFill/>
                    </a:ln>
                  </pic:spPr>
                </pic:pic>
              </a:graphicData>
            </a:graphic>
          </wp:inline>
        </w:drawing>
      </w:r>
    </w:p>
    <w:p w:rsidR="007A216F" w:rsidRPr="00A26F33" w:rsidP="0080402E">
      <w:pPr>
        <w:ind w:left="540" w:right="414"/>
        <w:jc w:val="center"/>
        <w:rPr>
          <w:b/>
          <w:i/>
        </w:rPr>
      </w:pPr>
    </w:p>
    <w:p w:rsidR="00C52893" w:rsidRPr="0080647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b/>
          <w:sz w:val="32"/>
          <w:szCs w:val="32"/>
        </w:rPr>
      </w:pPr>
      <w:r>
        <w:rPr>
          <w:b/>
          <w:sz w:val="32"/>
          <w:szCs w:val="32"/>
        </w:rPr>
        <w:t>Wills Eye Hospital Ophthalmology Review Course 2026</w:t>
      </w:r>
    </w:p>
    <w:p w:rsidR="00DF494A"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sidRPr="00743666">
        <w:rPr>
          <w:b/>
          <w:bCs/>
          <w:szCs w:val="24"/>
        </w:rPr>
        <w:t>Saturday, February 21, 2026</w:t>
      </w:r>
      <w:r w:rsidR="00677A88">
        <w:rPr>
          <w:b/>
          <w:bCs/>
          <w:szCs w:val="24"/>
        </w:rPr>
        <w:fldChar w:fldCharType="begin"/>
      </w:r>
      <w:r w:rsidR="00677A88">
        <w:rPr>
          <w:b/>
          <w:bCs/>
          <w:szCs w:val="24"/>
        </w:rPr>
        <w:instrText xml:space="preserve"> IF </w:instrText>
      </w:r>
      <w:r w:rsidR="00677A88">
        <w:rPr>
          <w:b/>
          <w:bCs/>
          <w:szCs w:val="24"/>
        </w:rPr>
        <w:instrText>"</w:instrText>
      </w:r>
      <w:r w:rsidR="00677A88">
        <w:rPr>
          <w:b/>
          <w:bCs/>
          <w:szCs w:val="24"/>
        </w:rPr>
        <w:instrText>Wednesday, February 25, 2026</w:instrText>
      </w:r>
      <w:r w:rsidR="00677A88">
        <w:rPr>
          <w:b/>
          <w:bCs/>
          <w:szCs w:val="24"/>
        </w:rPr>
        <w:instrText>"</w:instrText>
      </w:r>
      <w:r w:rsidR="00677A88">
        <w:rPr>
          <w:b/>
          <w:bCs/>
          <w:szCs w:val="24"/>
        </w:rPr>
        <w:instrText xml:space="preserve"> &lt;&gt; </w:instrText>
      </w:r>
      <w:r w:rsidR="00677A88">
        <w:rPr>
          <w:b/>
          <w:bCs/>
          <w:szCs w:val="24"/>
        </w:rPr>
        <w:instrText>"</w:instrText>
      </w:r>
      <w:r w:rsidR="00677A88">
        <w:rPr>
          <w:b/>
          <w:bCs/>
          <w:szCs w:val="24"/>
        </w:rPr>
        <w:instrText>Saturday, February 21, 2026</w:instrText>
      </w:r>
      <w:r w:rsidR="00677A88">
        <w:rPr>
          <w:b/>
          <w:bCs/>
          <w:szCs w:val="24"/>
        </w:rPr>
        <w:instrText>"</w:instrText>
      </w:r>
      <w:r w:rsidR="00677A88">
        <w:rPr>
          <w:b/>
          <w:bCs/>
          <w:szCs w:val="24"/>
        </w:rPr>
        <w:instrText xml:space="preserve"> " </w:instrText>
      </w:r>
      <w:r w:rsidRPr="00677A88" w:rsidR="00677A88">
        <w:rPr>
          <w:b/>
          <w:bCs/>
          <w:szCs w:val="24"/>
        </w:rPr>
        <w:instrText>—</w:instrText>
      </w:r>
      <w:r w:rsidR="00677A88">
        <w:rPr>
          <w:b/>
          <w:bCs/>
          <w:szCs w:val="24"/>
        </w:rPr>
        <w:instrText xml:space="preserve"> </w:instrText>
      </w:r>
      <w:r w:rsidR="00677A88">
        <w:rPr>
          <w:b/>
          <w:bCs/>
          <w:szCs w:val="24"/>
        </w:rPr>
        <w:instrText>Wednesday, February 25, 2026</w:instrText>
      </w:r>
      <w:r w:rsidR="00677A88">
        <w:rPr>
          <w:b/>
          <w:bCs/>
          <w:szCs w:val="24"/>
        </w:rPr>
        <w:instrText xml:space="preserve">" "" </w:instrText>
      </w:r>
      <w:r w:rsidR="00677A88">
        <w:rPr>
          <w:b/>
          <w:bCs/>
          <w:szCs w:val="24"/>
        </w:rPr>
        <w:fldChar w:fldCharType="separate"/>
      </w:r>
      <w:r w:rsidR="00677A88">
        <w:rPr>
          <w:b/>
          <w:bCs/>
          <w:szCs w:val="24"/>
        </w:rPr>
        <w:t xml:space="preserve"> </w:t>
      </w:r>
      <w:r w:rsidRPr="00677A88" w:rsidR="00677A88">
        <w:rPr>
          <w:b/>
          <w:bCs/>
          <w:szCs w:val="24"/>
        </w:rPr>
        <w:t>—</w:t>
      </w:r>
      <w:r w:rsidR="00677A88">
        <w:rPr>
          <w:b/>
          <w:bCs/>
          <w:szCs w:val="24"/>
        </w:rPr>
        <w:t xml:space="preserve"> </w:t>
      </w:r>
      <w:r w:rsidR="00677A88">
        <w:rPr>
          <w:b/>
          <w:bCs/>
          <w:szCs w:val="24"/>
        </w:rPr>
        <w:t>Wednesday, February 25, 2026</w:t>
      </w:r>
      <w:r w:rsidR="00677A88">
        <w:rPr>
          <w:b/>
          <w:bCs/>
          <w:szCs w:val="24"/>
        </w:rPr>
        <w:fldChar w:fldCharType="end"/>
      </w:r>
      <w:r w:rsidR="007C0CF7">
        <w:rPr>
          <w:i/>
          <w:szCs w:val="24"/>
        </w:rPr>
        <w:fldChar w:fldCharType="begin"/>
      </w:r>
      <w:r w:rsidR="007C0CF7">
        <w:rPr>
          <w:i/>
          <w:szCs w:val="24"/>
        </w:rPr>
        <w:instrText xml:space="preserve"> IF </w:instrText>
      </w:r>
      <w:r w:rsidR="007C0CF7">
        <w:rPr>
          <w:i/>
          <w:szCs w:val="24"/>
        </w:rPr>
        <w:instrText>"</w:instrText>
      </w:r>
      <w:r w:rsidR="007C0CF7">
        <w:rPr>
          <w:i/>
          <w:szCs w:val="24"/>
        </w:rPr>
        <w:instrText>Wills Eye Auditorium</w:instrText>
      </w:r>
      <w:r w:rsidR="007C0CF7">
        <w:rPr>
          <w:i/>
          <w:szCs w:val="24"/>
        </w:rPr>
        <w:instrText>"</w:instrText>
      </w:r>
      <w:r w:rsidR="007C0CF7">
        <w:rPr>
          <w:i/>
          <w:szCs w:val="24"/>
        </w:rPr>
        <w:instrText xml:space="preserve"> &lt;&gt; "" "</w:instrText>
      </w:r>
    </w:p>
    <w:p w:rsidR="00922320"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noProof/>
          <w:szCs w:val="24"/>
        </w:rPr>
      </w:pPr>
      <w:r>
        <w:rPr>
          <w:i/>
          <w:szCs w:val="24"/>
        </w:rPr>
        <w:instrText>Wills Eye Auditorium</w:instrText>
      </w:r>
      <w:r>
        <w:rPr>
          <w:i/>
          <w:szCs w:val="24"/>
        </w:rPr>
        <w:instrText xml:space="preserve">" "" </w:instrText>
      </w:r>
      <w:r>
        <w:rPr>
          <w:i/>
          <w:szCs w:val="24"/>
        </w:rPr>
        <w:fldChar w:fldCharType="separate"/>
      </w:r>
    </w:p>
    <w:p w:rsidR="007C0CF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Pr>
          <w:i/>
          <w:szCs w:val="24"/>
        </w:rPr>
        <w:t>Wills Eye Auditorium</w:t>
      </w:r>
      <w:r>
        <w:rPr>
          <w:i/>
          <w:szCs w:val="24"/>
        </w:rPr>
        <w:fldChar w:fldCharType="end"/>
      </w:r>
    </w:p>
    <w:p w:rsidR="00E57967" w:rsidRPr="00806477" w:rsidP="0080402E">
      <w:pPr>
        <w:ind w:left="540" w:right="414"/>
        <w:jc w:val="center"/>
        <w:rPr>
          <w:b/>
          <w:i/>
        </w:rPr>
      </w:pPr>
    </w:p>
    <w:p w:rsidR="00DB066A" w:rsidP="0080402E">
      <w:pPr>
        <w:ind w:left="540" w:right="414"/>
        <w:jc w:val="center"/>
        <w:rPr>
          <w:szCs w:val="24"/>
        </w:rPr>
      </w:pPr>
      <w:r>
        <w:rPr>
          <w:szCs w:val="24"/>
        </w:rPr>
        <w:fldChar w:fldCharType="begin"/>
      </w:r>
      <w:r>
        <w:rPr>
          <w:szCs w:val="24"/>
        </w:rPr>
        <w:instrText xml:space="preserve"> IF </w:instrText>
      </w:r>
      <w:r>
        <w:rPr>
          <w:szCs w:val="24"/>
        </w:rPr>
        <w:instrText xml:space="preserve"> = "" "" "</w:instrText>
      </w:r>
      <w:r w:rsidRPr="00806477">
        <w:rPr>
          <w:szCs w:val="24"/>
        </w:rPr>
        <w:instrText>Program Chair</w:instrText>
      </w:r>
      <w:r>
        <w:rPr>
          <w:szCs w:val="24"/>
        </w:rPr>
        <w:instrText>(s):</w:instrText>
      </w:r>
    </w:p>
    <w:p w:rsidR="003936BF" w:rsidRPr="00042BB4" w:rsidP="0080402E">
      <w:pPr>
        <w:ind w:left="540" w:right="414"/>
        <w:jc w:val="center"/>
        <w:rPr>
          <w:b/>
          <w:sz w:val="28"/>
          <w:szCs w:val="28"/>
        </w:rPr>
      </w:pPr>
    </w:p>
    <w:p w:rsidR="00922320" w:rsidP="0080402E">
      <w:pPr>
        <w:ind w:left="540" w:right="414"/>
        <w:jc w:val="center"/>
        <w:rPr>
          <w:noProof/>
          <w:szCs w:val="24"/>
        </w:rPr>
      </w:pPr>
      <w:r>
        <w:rPr>
          <w:szCs w:val="24"/>
        </w:rPr>
        <w:instrText xml:space="preserve"> "</w:instrText>
      </w:r>
      <w:r>
        <w:rPr>
          <w:szCs w:val="24"/>
        </w:rPr>
        <w:fldChar w:fldCharType="separate"/>
      </w:r>
      <w:r w:rsidR="00422C29">
        <w:rPr>
          <w:szCs w:val="24"/>
        </w:rPr>
        <w:fldChar w:fldCharType="end"/>
      </w:r>
    </w:p>
    <w:p w:rsidR="00634E4F" w:rsidRPr="00634E4F" w:rsidP="00412A04">
      <w:pPr>
        <w:ind w:left="446" w:right="331"/>
        <w:rPr>
          <w:b/>
          <w:iCs/>
          <w:sz w:val="22"/>
          <w:szCs w:val="22"/>
        </w:rPr>
      </w:pPr>
      <w:r w:rsidRPr="00634E4F">
        <w:rPr>
          <w:b/>
          <w:iCs/>
          <w:sz w:val="22"/>
          <w:szCs w:val="22"/>
        </w:rPr>
        <w:t>Conference Description:</w:t>
      </w:r>
    </w:p>
    <w:p w:rsidR="00522A80" w:rsidRPr="00412A04">
      <w:pPr>
        <w:bidi w:val="0"/>
        <w:spacing w:after="280" w:afterAutospacing="1"/>
        <w:rPr>
          <w:bCs/>
          <w:iCs/>
          <w:sz w:val="22"/>
          <w:szCs w:val="18"/>
        </w:rPr>
      </w:pPr>
      <w:r>
        <w:rPr>
          <w:rtl w:val="0"/>
        </w:rPr>
        <w:t>Course Director: Ralph C. Eagle, Jr., MD</w:t>
      </w:r>
    </w:p>
    <w:p>
      <w:pPr>
        <w:bidi w:val="0"/>
        <w:spacing w:after="280" w:afterAutospacing="1"/>
        <w:rPr>
          <w:rtl w:val="0"/>
        </w:rPr>
      </w:pPr>
      <w:r>
        <w:rPr>
          <w:rtl w:val="0"/>
        </w:rPr>
        <w:t>This live in-person course is a comprehensive and intensive review of ophthalmology for practicing ophthalmologists and ophthalmology residents and fellows. Topics taught by our world-renowned faculty range from anatomy, corneal diseases, eyelid, glaucoma, imaging, immunology, neuro-ophthalmology, oncology, orbit, ocular pathology, pediatrics, pharmacology, physiology, optics and refraction, and retina.</w:t>
      </w:r>
    </w:p>
    <w:p>
      <w:pPr>
        <w:bidi w:val="0"/>
        <w:spacing w:after="280" w:afterAutospacing="1"/>
        <w:rPr>
          <w:rtl w:val="0"/>
        </w:rPr>
      </w:pPr>
      <w:r>
        <w:rPr>
          <w:rtl w:val="0"/>
        </w:rPr>
        <w:t>Guest Faculty</w:t>
      </w:r>
      <w:r>
        <w:rPr>
          <w:rtl w:val="0"/>
        </w:rPr>
        <w:br/>
      </w:r>
      <w:r>
        <w:rPr>
          <w:rtl w:val="0"/>
        </w:rPr>
        <w:t>David L. Guyton, MD, Professor of Ophthalmology,</w:t>
      </w:r>
      <w:r>
        <w:rPr>
          <w:rtl w:val="0"/>
        </w:rPr>
        <w:br/>
      </w:r>
      <w:r>
        <w:rPr>
          <w:rtl w:val="0"/>
        </w:rPr>
        <w:t>The Wilmer Ophthalmological Institute, Johns Hopkins University,</w:t>
      </w:r>
      <w:r>
        <w:rPr>
          <w:rtl w:val="0"/>
        </w:rPr>
        <w:br/>
      </w:r>
      <w:r>
        <w:rPr>
          <w:rtl w:val="0"/>
        </w:rPr>
        <w:t>Baltimore, MD</w:t>
      </w:r>
    </w:p>
    <w:p>
      <w:pPr>
        <w:bidi w:val="0"/>
        <w:spacing w:after="280" w:afterAutospacing="1"/>
        <w:rPr>
          <w:rtl w:val="0"/>
        </w:rPr>
      </w:pPr>
      <w:r>
        <w:rPr>
          <w:rtl w:val="0"/>
        </w:rPr>
        <w:t>Kristina Irsch, PhD, Assistant Professor of Ophthalmology,</w:t>
      </w:r>
      <w:r>
        <w:rPr>
          <w:rtl w:val="0"/>
        </w:rPr>
        <w:br/>
      </w:r>
      <w:r>
        <w:rPr>
          <w:rtl w:val="0"/>
        </w:rPr>
        <w:t>The Wilmer Ophthalmological Institute, Johns Hopkins University,</w:t>
      </w:r>
      <w:r>
        <w:rPr>
          <w:rtl w:val="0"/>
        </w:rPr>
        <w:br/>
      </w:r>
      <w:r>
        <w:rPr>
          <w:rtl w:val="0"/>
        </w:rPr>
        <w:t>Baltimore, MD</w:t>
      </w:r>
    </w:p>
    <w:p>
      <w:pPr>
        <w:bidi w:val="0"/>
        <w:spacing w:after="280" w:afterAutospacing="1"/>
        <w:rPr>
          <w:rtl w:val="0"/>
        </w:rPr>
      </w:pPr>
      <w:r>
        <w:rPr>
          <w:rtl w:val="0"/>
        </w:rPr>
        <w:t>Rod Foroozan, MD, Professor of Neuro-ophthalmology,</w:t>
      </w:r>
      <w:r>
        <w:rPr>
          <w:rtl w:val="0"/>
        </w:rPr>
        <w:br/>
      </w:r>
      <w:r>
        <w:rPr>
          <w:rtl w:val="0"/>
        </w:rPr>
        <w:t>Baylor College of Medicine,</w:t>
      </w:r>
      <w:r>
        <w:rPr>
          <w:rtl w:val="0"/>
        </w:rPr>
        <w:br/>
      </w:r>
      <w:r>
        <w:rPr>
          <w:rtl w:val="0"/>
        </w:rPr>
        <w:t>Houston, TX</w:t>
      </w:r>
    </w:p>
    <w:p>
      <w:pPr>
        <w:bidi w:val="0"/>
        <w:spacing w:after="280" w:afterAutospacing="1"/>
        <w:rPr>
          <w:rtl w:val="0"/>
        </w:rPr>
      </w:pPr>
      <w:r>
        <w:rPr>
          <w:rtl w:val="0"/>
        </w:rPr>
        <w:t>Hermann D. Schubert, MD, Professor of Clinical Ophthalmology and Pathology,</w:t>
      </w:r>
      <w:r>
        <w:rPr>
          <w:rtl w:val="0"/>
        </w:rPr>
        <w:br/>
      </w:r>
      <w:r>
        <w:rPr>
          <w:rtl w:val="0"/>
        </w:rPr>
        <w:t>Columbia University,</w:t>
      </w:r>
      <w:r>
        <w:rPr>
          <w:rtl w:val="0"/>
        </w:rPr>
        <w:br/>
      </w:r>
      <w:r>
        <w:rPr>
          <w:rtl w:val="0"/>
        </w:rPr>
        <w:t>New York, NY</w:t>
      </w:r>
    </w:p>
    <w:p>
      <w:pPr>
        <w:bidi w:val="0"/>
        <w:spacing w:after="280" w:afterAutospacing="1"/>
        <w:rPr>
          <w:rtl w:val="0"/>
        </w:rPr>
      </w:pPr>
      <w:r>
        <w:rPr>
          <w:rtl w:val="0"/>
        </w:rPr>
        <w:br/>
      </w:r>
      <w:r>
        <w:rPr>
          <w:rtl w:val="0"/>
        </w:rPr>
        <w:t>Wills Eye Hospital Faculty </w:t>
      </w:r>
      <w:r>
        <w:rPr>
          <w:rtl w:val="0"/>
        </w:rPr>
        <w:br/>
      </w:r>
      <w:r>
        <w:rPr>
          <w:rtl w:val="0"/>
        </w:rPr>
        <w:t>Jurij R. Bilyk, MD, Attending Surgeon, Oculoplastic Service</w:t>
      </w:r>
    </w:p>
    <w:p>
      <w:pPr>
        <w:bidi w:val="0"/>
        <w:spacing w:after="280" w:afterAutospacing="1"/>
        <w:rPr>
          <w:rtl w:val="0"/>
        </w:rPr>
      </w:pPr>
      <w:r>
        <w:rPr>
          <w:rtl w:val="0"/>
        </w:rPr>
        <w:t>Jacqueline Carrasco, MD, Attending Surgeon, Oculoplastic &amp; Orbital Surgery</w:t>
      </w:r>
    </w:p>
    <w:p>
      <w:pPr>
        <w:bidi w:val="0"/>
        <w:spacing w:after="280" w:afterAutospacing="1"/>
        <w:rPr>
          <w:rtl w:val="0"/>
        </w:rPr>
      </w:pPr>
      <w:r>
        <w:rPr>
          <w:rtl w:val="0"/>
        </w:rPr>
        <w:t>Ralph C. Eagle, Jr., MD, Service Chief, Department of Pathology</w:t>
      </w:r>
    </w:p>
    <w:p>
      <w:pPr>
        <w:bidi w:val="0"/>
        <w:spacing w:after="280" w:afterAutospacing="1"/>
        <w:rPr>
          <w:rtl w:val="0"/>
        </w:rPr>
      </w:pPr>
      <w:r>
        <w:rPr>
          <w:rtl w:val="0"/>
        </w:rPr>
        <w:t>Mitchell S. Fineman, MD, Attending Surgeon, Retina Service</w:t>
      </w:r>
    </w:p>
    <w:p>
      <w:pPr>
        <w:bidi w:val="0"/>
        <w:spacing w:after="280" w:afterAutospacing="1"/>
        <w:rPr>
          <w:rtl w:val="0"/>
        </w:rPr>
      </w:pPr>
      <w:r>
        <w:rPr>
          <w:rtl w:val="0"/>
        </w:rPr>
        <w:t>Jordan D. Deaner, MD, Attending Surgeon, Retina Service</w:t>
      </w:r>
    </w:p>
    <w:p>
      <w:pPr>
        <w:bidi w:val="0"/>
        <w:spacing w:after="280" w:afterAutospacing="1"/>
        <w:rPr>
          <w:rtl w:val="0"/>
        </w:rPr>
      </w:pPr>
      <w:r>
        <w:rPr>
          <w:rtl w:val="0"/>
        </w:rPr>
        <w:t>Lauren Hock, MD, Attending Surgeon, Glaucoma Service</w:t>
      </w:r>
    </w:p>
    <w:p>
      <w:pPr>
        <w:bidi w:val="0"/>
        <w:spacing w:after="280" w:afterAutospacing="1"/>
        <w:rPr>
          <w:rtl w:val="0"/>
        </w:rPr>
      </w:pPr>
      <w:r>
        <w:rPr>
          <w:rtl w:val="0"/>
        </w:rPr>
        <w:t>Aditya Kanesa-thasan, MD, Attending Surgeon, Cornea and Cataract Surgery</w:t>
      </w:r>
    </w:p>
    <w:p>
      <w:pPr>
        <w:bidi w:val="0"/>
        <w:spacing w:after="280" w:afterAutospacing="1"/>
        <w:rPr>
          <w:rtl w:val="0"/>
        </w:rPr>
      </w:pPr>
      <w:r>
        <w:rPr>
          <w:rtl w:val="0"/>
        </w:rPr>
        <w:t>Michael A. Klufas, MD, Attending Surgeon, Retina Service</w:t>
      </w:r>
    </w:p>
    <w:p>
      <w:pPr>
        <w:bidi w:val="0"/>
        <w:spacing w:after="280" w:afterAutospacing="1"/>
        <w:rPr>
          <w:rtl w:val="0"/>
        </w:rPr>
      </w:pPr>
      <w:r>
        <w:rPr>
          <w:rtl w:val="0"/>
        </w:rPr>
        <w:t>Daniel Lee, MD, Attending Surgeon, Glaucoma Service</w:t>
      </w:r>
    </w:p>
    <w:p>
      <w:pPr>
        <w:bidi w:val="0"/>
        <w:spacing w:after="280" w:afterAutospacing="1"/>
        <w:rPr>
          <w:rtl w:val="0"/>
        </w:rPr>
      </w:pPr>
      <w:r>
        <w:rPr>
          <w:rtl w:val="0"/>
        </w:rPr>
        <w:t>Jonathan S. Myers, MD, Service Chief, Glaucoma Service</w:t>
      </w:r>
    </w:p>
    <w:p>
      <w:pPr>
        <w:bidi w:val="0"/>
        <w:spacing w:after="280" w:afterAutospacing="1"/>
        <w:rPr>
          <w:rtl w:val="0"/>
        </w:rPr>
      </w:pPr>
      <w:r>
        <w:rPr>
          <w:rtl w:val="0"/>
        </w:rPr>
        <w:t>Bruce M. Schnall, MD, Attending Surgeon, Adult and Pediatric Strabismus</w:t>
      </w:r>
    </w:p>
    <w:p>
      <w:pPr>
        <w:bidi w:val="0"/>
        <w:spacing w:after="280" w:afterAutospacing="1"/>
        <w:rPr>
          <w:rtl w:val="0"/>
        </w:rPr>
      </w:pPr>
      <w:r>
        <w:rPr>
          <w:rtl w:val="0"/>
        </w:rPr>
        <w:t>Carol L. Shields, MD, Service Chief, Oncology Service</w:t>
      </w:r>
    </w:p>
    <w:p>
      <w:pPr>
        <w:bidi w:val="0"/>
        <w:spacing w:after="280" w:afterAutospacing="1"/>
        <w:rPr>
          <w:rtl w:val="0"/>
        </w:rPr>
      </w:pPr>
      <w:r>
        <w:rPr>
          <w:rtl w:val="0"/>
        </w:rPr>
        <w:t>Zeba A. Syed, MD, Attending Surgeon, Cornea Service</w:t>
      </w:r>
    </w:p>
    <w:p>
      <w:pPr>
        <w:bidi w:val="0"/>
        <w:spacing w:after="280" w:afterAutospacing="1"/>
        <w:rPr>
          <w:rtl w:val="0"/>
        </w:rPr>
      </w:pPr>
      <w:r>
        <w:rPr>
          <w:rtl w:val="0"/>
        </w:rPr>
        <w:t>Barry N. Wasserman, MD, Attending Surgeon, Pediatric Ophthalmology Service</w:t>
      </w:r>
    </w:p>
    <w:p>
      <w:pPr>
        <w:bidi w:val="0"/>
        <w:spacing w:after="280" w:afterAutospacing="1"/>
        <w:rPr>
          <w:bCs/>
          <w:iCs/>
          <w:sz w:val="22"/>
          <w:szCs w:val="22"/>
        </w:rPr>
      </w:pPr>
      <w:r w:rsidRPr="00522A80" w:rsidR="00AC209D">
        <w:rPr>
          <w:bCs/>
          <w:iCs/>
          <w:sz w:val="22"/>
          <w:szCs w:val="22"/>
        </w:rPr>
        <w:fldChar w:fldCharType="begin"/>
      </w:r>
      <w:r w:rsidRPr="00522A80" w:rsidR="00AC209D">
        <w:rPr>
          <w:bCs/>
          <w:iCs/>
          <w:sz w:val="22"/>
          <w:szCs w:val="22"/>
        </w:rPr>
        <w:instrText xml:space="preserve"> IF </w:instrText>
      </w:r>
      <w:r w:rsidRPr="00522A80" w:rsidR="00522A80">
        <w:rPr>
          <w:bCs/>
          <w:iCs/>
          <w:sz w:val="22"/>
          <w:szCs w:val="22"/>
        </w:rPr>
        <w:instrText>"</w:instrText>
      </w:r>
      <w:r w:rsidRPr="00522A80" w:rsidR="00522A80">
        <w:rPr>
          <w:bCs/>
          <w:iCs/>
          <w:sz w:val="22"/>
          <w:szCs w:val="22"/>
        </w:rPr>
        <w:instrText>1 Provide a comprehensive review of topics in ophthalmology including: Optics and Refraction; Antomy and Embryology; Retina and Vitreous; Ocular Pathology; Orbit, Eyelid and Lacrimal System; Pharmacology and Therapeutics; Ocular Tumors; Neuro-Ophthalmology; Corneal and External Diseases; Uveitis and AIDS; Glaucoma; Pediatric Ophthalmology and Strabismus; CT and MRI Imaging of Eye and Orbit.</w:instrText>
      </w:r>
    </w:p>
    <w:p w:rsidR="00AC209D" w:rsidRPr="00522A80">
      <w:pPr>
        <w:bidi w:val="0"/>
        <w:spacing w:after="280" w:afterAutospacing="1"/>
        <w:rPr>
          <w:bCs/>
          <w:iCs/>
          <w:sz w:val="22"/>
          <w:szCs w:val="22"/>
        </w:rPr>
      </w:pPr>
      <w:r w:rsidRPr="00522A80" w:rsidR="00522A80">
        <w:rPr>
          <w:bCs/>
          <w:iCs/>
          <w:sz w:val="22"/>
          <w:szCs w:val="22"/>
        </w:rPr>
        <w:instrText>2 Better understand the pathophysiology of most ophthalmic disease.</w:instrText>
      </w:r>
    </w:p>
    <w:p w:rsidR="00AC209D" w:rsidRPr="00522A80">
      <w:pPr>
        <w:bidi w:val="0"/>
        <w:spacing w:after="280" w:afterAutospacing="1"/>
        <w:rPr>
          <w:bCs/>
          <w:iCs/>
          <w:sz w:val="22"/>
          <w:szCs w:val="22"/>
        </w:rPr>
      </w:pPr>
      <w:r w:rsidRPr="00522A80" w:rsidR="00522A80">
        <w:rPr>
          <w:bCs/>
          <w:iCs/>
          <w:sz w:val="22"/>
          <w:szCs w:val="22"/>
        </w:rPr>
        <w:instrText>3 Perform appropriate diagnostic tests and differential diagnosis for most ophthalmic diseases.</w:instrText>
      </w:r>
      <w:r w:rsidRPr="00522A80" w:rsidR="00522A80">
        <w:rPr>
          <w:bCs/>
          <w:iCs/>
          <w:sz w:val="22"/>
          <w:szCs w:val="22"/>
        </w:rPr>
        <w:instrText>"</w:instrText>
      </w:r>
      <w:r w:rsidRPr="00522A80" w:rsidR="00522A80">
        <w:rPr>
          <w:bCs/>
          <w:iCs/>
          <w:sz w:val="22"/>
          <w:szCs w:val="22"/>
        </w:rPr>
        <w:instrText xml:space="preserve"> &lt;&gt; "" "</w:instrText>
      </w:r>
    </w:p>
    <w:p w:rsidR="00555DB6" w:rsidP="000B10C9">
      <w:pPr>
        <w:ind w:left="450" w:right="324"/>
        <w:rPr>
          <w:b/>
          <w:iCs/>
          <w:sz w:val="22"/>
          <w:szCs w:val="22"/>
        </w:rPr>
      </w:pPr>
    </w:p>
    <w:p w:rsidR="00522A80" w:rsidP="000B10C9">
      <w:pPr>
        <w:ind w:left="450" w:right="324"/>
        <w:rPr>
          <w:bCs/>
          <w:iCs/>
          <w:sz w:val="22"/>
          <w:szCs w:val="22"/>
        </w:rPr>
      </w:pPr>
      <w:r>
        <w:rPr>
          <w:b/>
          <w:iCs/>
          <w:sz w:val="22"/>
          <w:szCs w:val="22"/>
        </w:rPr>
        <w:instrText>At the conclusion of the course, participants should be able to:</w:instrText>
      </w:r>
    </w:p>
    <w:p w:rsidR="00922320" w:rsidRPr="00412A04" w:rsidP="00412A04">
      <w:pPr>
        <w:ind w:left="446" w:right="331"/>
        <w:rPr>
          <w:bCs/>
          <w:iCs/>
          <w:noProof/>
          <w:sz w:val="22"/>
          <w:szCs w:val="18"/>
        </w:rPr>
      </w:pPr>
      <w:r>
        <w:rPr>
          <w:bCs/>
          <w:iCs/>
          <w:sz w:val="22"/>
          <w:szCs w:val="22"/>
        </w:rPr>
        <w:instrText>1 Provide a comprehensive review of topics in ophthalmology including: Optics and Refraction; Antomy and Embryology; Retina and Vitreous; Ocular Pathology; Orbit, Eyelid and Lacrimal System; Pharmacology and Therapeutics; Ocular Tumors; Neuro-Ophthalmology; Corneal and External Diseases; Uveitis and AIDS; Glaucoma; Pediatric Ophthalmology and Strabismus; CT and MRI Imaging of Eye and Orbit.</w:instrText>
      </w:r>
    </w:p>
    <w:p w:rsidP="00412A04">
      <w:pPr>
        <w:ind w:left="446" w:right="331"/>
        <w:rPr>
          <w:bCs/>
          <w:iCs/>
          <w:sz w:val="22"/>
          <w:szCs w:val="22"/>
        </w:rPr>
      </w:pPr>
      <w:r>
        <w:rPr>
          <w:bCs/>
          <w:iCs/>
          <w:sz w:val="22"/>
          <w:szCs w:val="22"/>
        </w:rPr>
        <w:instrText>2 Better understand the pathophysiology of most ophthalmic disease.</w:instrText>
      </w:r>
    </w:p>
    <w:p w:rsidP="00412A04">
      <w:pPr>
        <w:ind w:left="446" w:right="331"/>
        <w:rPr>
          <w:bCs/>
          <w:iCs/>
          <w:sz w:val="22"/>
          <w:szCs w:val="22"/>
        </w:rPr>
      </w:pPr>
      <w:r>
        <w:rPr>
          <w:bCs/>
          <w:iCs/>
          <w:sz w:val="22"/>
          <w:szCs w:val="22"/>
        </w:rPr>
        <w:instrText>3 Perform appropriate diagnostic tests and differential diagnosis for most ophthalmic diseases.</w:instrText>
      </w:r>
      <w:r w:rsidRPr="00522A80">
        <w:rPr>
          <w:bCs/>
          <w:iCs/>
          <w:sz w:val="22"/>
          <w:szCs w:val="22"/>
        </w:rPr>
        <w:instrText>" ""</w:instrText>
      </w:r>
      <w:r w:rsidRPr="00522A80" w:rsidR="00AC209D">
        <w:rPr>
          <w:bCs/>
          <w:iCs/>
          <w:sz w:val="22"/>
          <w:szCs w:val="22"/>
        </w:rPr>
        <w:instrText xml:space="preserve"> </w:instrText>
      </w:r>
      <w:r w:rsidRPr="00522A80" w:rsidR="00AC209D">
        <w:rPr>
          <w:bCs/>
          <w:iCs/>
          <w:sz w:val="22"/>
          <w:szCs w:val="22"/>
        </w:rPr>
        <w:fldChar w:fldCharType="separate"/>
      </w:r>
    </w:p>
    <w:p w:rsidR="00555DB6" w:rsidP="000B10C9">
      <w:pPr>
        <w:ind w:left="450" w:right="324"/>
        <w:rPr>
          <w:b/>
          <w:iCs/>
          <w:sz w:val="22"/>
          <w:szCs w:val="22"/>
        </w:rPr>
      </w:pPr>
    </w:p>
    <w:p w:rsidR="00522A80" w:rsidP="000B10C9">
      <w:pPr>
        <w:ind w:left="450" w:right="324"/>
        <w:rPr>
          <w:bCs/>
          <w:iCs/>
          <w:sz w:val="22"/>
          <w:szCs w:val="22"/>
        </w:rPr>
      </w:pPr>
      <w:r>
        <w:rPr>
          <w:b/>
          <w:iCs/>
          <w:sz w:val="22"/>
          <w:szCs w:val="22"/>
        </w:rPr>
        <w:t>At the conclusion of the course, participants should be able to:</w:t>
      </w:r>
    </w:p>
    <w:p w:rsidR="00922320" w:rsidRPr="00412A04" w:rsidP="00412A04">
      <w:pPr>
        <w:ind w:left="446" w:right="331"/>
        <w:rPr>
          <w:bCs/>
          <w:iCs/>
          <w:noProof/>
          <w:sz w:val="22"/>
          <w:szCs w:val="18"/>
        </w:rPr>
      </w:pPr>
      <w:r>
        <w:rPr>
          <w:bCs/>
          <w:iCs/>
          <w:sz w:val="22"/>
          <w:szCs w:val="22"/>
        </w:rPr>
        <w:t>1 Provide a comprehensive review of topics in ophthalmology including: Optics and Refraction; Antomy and Embryology; Retina and Vitreous; Ocular Pathology; Orbit, Eyelid and Lacrimal System; Pharmacology and Therapeutics; Ocular Tumors; Neuro-Ophthalmology; Corneal and External Diseases; Uveitis and AIDS; Glaucoma; Pediatric Ophthalmology and Strabismus; CT and MRI Imaging of Eye and Orbit.</w:t>
      </w:r>
    </w:p>
    <w:p w:rsidP="00412A04">
      <w:pPr>
        <w:ind w:left="446" w:right="331"/>
        <w:rPr>
          <w:bCs/>
          <w:iCs/>
          <w:sz w:val="22"/>
          <w:szCs w:val="22"/>
        </w:rPr>
      </w:pPr>
      <w:r>
        <w:rPr>
          <w:bCs/>
          <w:iCs/>
          <w:sz w:val="22"/>
          <w:szCs w:val="22"/>
        </w:rPr>
        <w:t>2 Better understand the pathophysiology of most ophthalmic disease.</w:t>
      </w:r>
    </w:p>
    <w:p w:rsidR="00AC209D" w:rsidRPr="00522A80" w:rsidP="00412A04">
      <w:pPr>
        <w:ind w:left="446" w:right="331"/>
        <w:rPr>
          <w:bCs/>
          <w:iCs/>
          <w:sz w:val="22"/>
          <w:szCs w:val="22"/>
        </w:rPr>
      </w:pPr>
      <w:r>
        <w:rPr>
          <w:bCs/>
          <w:iCs/>
          <w:sz w:val="22"/>
          <w:szCs w:val="22"/>
        </w:rPr>
        <w:t>3 Perform appropriate diagnostic tests and differential diagnosis for most ophthalmic diseases.</w:t>
      </w:r>
      <w:r w:rsidRPr="00522A80">
        <w:rPr>
          <w:bCs/>
          <w:iCs/>
          <w:sz w:val="22"/>
          <w:szCs w:val="22"/>
        </w:rPr>
        <w:fldChar w:fldCharType="end"/>
      </w:r>
    </w:p>
    <w:p w:rsidR="002C184B" w:rsidP="00555DB6">
      <w:pPr>
        <w:ind w:left="450" w:right="288"/>
        <w:rPr>
          <w:sz w:val="22"/>
          <w:szCs w:val="22"/>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2C184B" w:rsidP="00555DB6">
      <w:pPr>
        <w:spacing w:line="240" w:lineRule="exact"/>
        <w:ind w:right="-36"/>
        <w:rPr>
          <w:b/>
          <w:sz w:val="22"/>
          <w:szCs w:val="22"/>
        </w:rPr>
      </w:pPr>
    </w:p>
    <w:p w:rsidR="008A53FF" w:rsidRPr="00806477" w:rsidP="0022334C">
      <w:pPr>
        <w:spacing w:line="240" w:lineRule="exact"/>
        <w:ind w:left="450" w:right="-36"/>
        <w:rPr>
          <w:b/>
          <w:sz w:val="22"/>
          <w:szCs w:val="22"/>
        </w:rPr>
      </w:pPr>
      <w:r w:rsidRPr="00806477">
        <w:rPr>
          <w:b/>
          <w:sz w:val="22"/>
          <w:szCs w:val="22"/>
        </w:rPr>
        <w:t xml:space="preserve">Accreditation Statement:  </w:t>
      </w:r>
    </w:p>
    <w:p w:rsidR="00681A56" w:rsidP="00090473">
      <w:pPr>
        <w:spacing w:line="240" w:lineRule="exact"/>
        <w:ind w:left="450" w:right="-36"/>
        <w:rPr>
          <w:sz w:val="22"/>
          <w:szCs w:val="22"/>
        </w:rPr>
      </w:pPr>
      <w:r w:rsidRPr="00806477">
        <w:rPr>
          <w:sz w:val="22"/>
          <w:szCs w:val="22"/>
        </w:rPr>
        <w:t xml:space="preserve">The Wills Eye </w:t>
      </w:r>
      <w:r w:rsidRPr="00806477" w:rsidR="0066395A">
        <w:rPr>
          <w:sz w:val="22"/>
          <w:szCs w:val="22"/>
        </w:rPr>
        <w:t>Hospital</w:t>
      </w:r>
      <w:r w:rsidRPr="00806477">
        <w:rPr>
          <w:sz w:val="22"/>
          <w:szCs w:val="22"/>
        </w:rPr>
        <w:t xml:space="preserve"> is ac</w:t>
      </w:r>
      <w:bookmarkStart w:id="0" w:name="_GoBack"/>
      <w:bookmarkEnd w:id="0"/>
      <w:r w:rsidRPr="00806477">
        <w:rPr>
          <w:sz w:val="22"/>
          <w:szCs w:val="22"/>
        </w:rPr>
        <w:t xml:space="preserve">credited by the </w:t>
      </w:r>
      <w:r w:rsidR="00582689">
        <w:rPr>
          <w:sz w:val="22"/>
          <w:szCs w:val="22"/>
        </w:rPr>
        <w:t>Accreditation Council for Continuing Medical Education</w:t>
      </w:r>
      <w:r w:rsidR="00F8681C">
        <w:rPr>
          <w:sz w:val="22"/>
          <w:szCs w:val="22"/>
        </w:rPr>
        <w:t xml:space="preserve"> (ACCME)</w:t>
      </w:r>
      <w:r w:rsidRPr="00806477">
        <w:rPr>
          <w:sz w:val="22"/>
          <w:szCs w:val="22"/>
        </w:rPr>
        <w:t xml:space="preserve"> to provide continuing medical education for physicians. </w:t>
      </w:r>
    </w:p>
    <w:p w:rsidR="00681A56" w:rsidP="00090473">
      <w:pPr>
        <w:spacing w:line="240" w:lineRule="exact"/>
        <w:ind w:left="450" w:right="-36"/>
        <w:rPr>
          <w:sz w:val="22"/>
          <w:szCs w:val="22"/>
        </w:rPr>
      </w:pPr>
    </w:p>
    <w:p w:rsidR="00681A56" w:rsidRPr="00681A56" w:rsidP="00090473">
      <w:pPr>
        <w:spacing w:line="240" w:lineRule="exact"/>
        <w:ind w:left="450" w:right="-36"/>
        <w:rPr>
          <w:b/>
          <w:sz w:val="22"/>
          <w:szCs w:val="22"/>
        </w:rPr>
      </w:pPr>
      <w:r w:rsidRPr="00681A56">
        <w:rPr>
          <w:b/>
          <w:sz w:val="22"/>
          <w:szCs w:val="22"/>
        </w:rPr>
        <w:t>Credit Statement Designation</w:t>
      </w:r>
      <w:r>
        <w:rPr>
          <w:b/>
          <w:sz w:val="22"/>
          <w:szCs w:val="22"/>
        </w:rPr>
        <w:t>:</w:t>
      </w:r>
    </w:p>
    <w:p w:rsidR="00090473" w:rsidP="00090473">
      <w:pPr>
        <w:spacing w:line="240" w:lineRule="exact"/>
        <w:ind w:left="450" w:right="-36"/>
        <w:rPr>
          <w:sz w:val="22"/>
          <w:szCs w:val="22"/>
        </w:rPr>
      </w:pPr>
      <w:r w:rsidRPr="00806477">
        <w:rPr>
          <w:sz w:val="22"/>
          <w:szCs w:val="22"/>
        </w:rPr>
        <w:t xml:space="preserve">Wills Eye </w:t>
      </w:r>
      <w:r w:rsidRPr="00806477" w:rsidR="000739BD">
        <w:rPr>
          <w:sz w:val="22"/>
          <w:szCs w:val="22"/>
        </w:rPr>
        <w:t>Hospital</w:t>
      </w:r>
      <w:r w:rsidRPr="00806477">
        <w:rPr>
          <w:sz w:val="22"/>
          <w:szCs w:val="22"/>
        </w:rPr>
        <w:t xml:space="preserve"> designates this </w:t>
      </w:r>
      <w:r w:rsidRPr="00806477">
        <w:rPr>
          <w:sz w:val="22"/>
          <w:szCs w:val="22"/>
        </w:rPr>
        <w:t xml:space="preserve"> for a maximum of </w:t>
      </w:r>
      <w:r w:rsidR="00922320">
        <w:rPr>
          <w:noProof/>
          <w:sz w:val="22"/>
          <w:szCs w:val="22"/>
        </w:rPr>
        <w:t>45.50</w:t>
      </w:r>
      <w:r w:rsidRPr="00806477">
        <w:rPr>
          <w:sz w:val="22"/>
          <w:szCs w:val="22"/>
        </w:rPr>
        <w:t xml:space="preserve"> </w:t>
      </w:r>
      <w:r w:rsidRPr="00806477">
        <w:rPr>
          <w:i/>
          <w:sz w:val="22"/>
          <w:szCs w:val="22"/>
        </w:rPr>
        <w:t>AMA PRA Category 1 Credits</w:t>
      </w:r>
      <w:r w:rsidRPr="00806477">
        <w:rPr>
          <w:i/>
          <w:sz w:val="22"/>
          <w:szCs w:val="22"/>
          <w:vertAlign w:val="superscript"/>
        </w:rPr>
        <w:t>™</w:t>
      </w:r>
      <w:r w:rsidRPr="00806477">
        <w:rPr>
          <w:sz w:val="22"/>
          <w:szCs w:val="22"/>
        </w:rPr>
        <w:t>.  Physicians should claim only the credit commensurate with the extent of their participation in the activity.</w:t>
      </w:r>
      <w:r w:rsidR="00666F77">
        <w:rPr>
          <w:sz w:val="22"/>
          <w:szCs w:val="22"/>
        </w:rPr>
        <w:fldChar w:fldCharType="begin"/>
      </w:r>
      <w:r w:rsidR="00666F77">
        <w:rPr>
          <w:sz w:val="22"/>
          <w:szCs w:val="22"/>
        </w:rPr>
        <w:instrText xml:space="preserve"> IF </w:instrText>
      </w:r>
      <w:r w:rsidR="00666F77">
        <w:rPr>
          <w:sz w:val="22"/>
          <w:szCs w:val="22"/>
        </w:rPr>
        <w:instrText>0.00</w:instrText>
      </w:r>
      <w:r w:rsidR="00666F77">
        <w:rPr>
          <w:sz w:val="22"/>
          <w:szCs w:val="22"/>
        </w:rPr>
        <w:instrText xml:space="preserve"> &gt; 0 "</w:instrText>
      </w:r>
    </w:p>
    <w:p w:rsidR="00090473" w:rsidP="00090473">
      <w:pPr>
        <w:spacing w:line="240" w:lineRule="exact"/>
        <w:ind w:left="450" w:right="-36"/>
        <w:rPr>
          <w:sz w:val="22"/>
          <w:szCs w:val="22"/>
        </w:rPr>
      </w:pPr>
    </w:p>
    <w:p w:rsidR="00090473" w:rsidP="00090473">
      <w:pPr>
        <w:spacing w:line="240" w:lineRule="exact"/>
        <w:ind w:left="450" w:right="-36"/>
        <w:rPr>
          <w:sz w:val="22"/>
          <w:szCs w:val="22"/>
        </w:rPr>
      </w:pPr>
      <w:r>
        <w:rPr>
          <w:b/>
          <w:bCs/>
          <w:sz w:val="22"/>
          <w:szCs w:val="22"/>
        </w:rPr>
        <w:instrText>MOC Statement</w:instrText>
      </w:r>
    </w:p>
    <w:p w:rsidR="00A5027A" w:rsidP="00A5027A">
      <w:pPr>
        <w:spacing w:line="240" w:lineRule="exact"/>
        <w:ind w:left="450" w:right="-36"/>
        <w:rPr>
          <w:sz w:val="22"/>
          <w:szCs w:val="22"/>
        </w:rPr>
      </w:pPr>
      <w:r w:rsidRPr="00090473">
        <w:rPr>
          <w:sz w:val="22"/>
          <w:szCs w:val="22"/>
        </w:rPr>
        <w:instrText>Successful completion of this CME activity, which includes participation in the evaluation component, enables the learner to satisfy the Lifelong Learning, Self-Assessment, Improvement in Medical Practice and/or Patient Safety requirements for the American Board of Ophthalmology’s Continuing Certification program. It is the CME activity provider's responsibility to submit learner completion information to ACCME for the purpose of granting credit.</w:instrText>
      </w:r>
      <w:r w:rsidR="00666F77">
        <w:rPr>
          <w:sz w:val="22"/>
          <w:szCs w:val="22"/>
        </w:rPr>
        <w:instrText>"</w:instrText>
      </w:r>
      <w:r>
        <w:rPr>
          <w:sz w:val="22"/>
          <w:szCs w:val="22"/>
        </w:rPr>
        <w:instrText xml:space="preserve"> ""</w:instrText>
      </w:r>
      <w:r w:rsidR="00666F77">
        <w:rPr>
          <w:sz w:val="22"/>
          <w:szCs w:val="22"/>
        </w:rPr>
        <w:instrText xml:space="preserve"> </w:instrText>
      </w:r>
      <w:r w:rsidR="00666F77">
        <w:rPr>
          <w:sz w:val="22"/>
          <w:szCs w:val="22"/>
        </w:rPr>
        <w:fldChar w:fldCharType="separate"/>
      </w:r>
      <w:r w:rsidR="00666F77">
        <w:rPr>
          <w:sz w:val="22"/>
          <w:szCs w:val="22"/>
        </w:rPr>
        <w:fldChar w:fldCharType="end"/>
      </w:r>
    </w:p>
    <w:p w:rsidR="00A5027A" w:rsidRPr="00A5027A" w:rsidP="00A5027A">
      <w:pPr>
        <w:spacing w:line="240" w:lineRule="exact"/>
        <w:ind w:left="450" w:right="-36"/>
        <w:rPr>
          <w:sz w:val="22"/>
          <w:szCs w:val="22"/>
        </w:rPr>
      </w:pPr>
    </w:p>
    <w:p w:rsidR="008A53FF" w:rsidRPr="00806477" w:rsidP="0022334C">
      <w:pPr>
        <w:ind w:left="450" w:right="-36"/>
        <w:rPr>
          <w:sz w:val="22"/>
          <w:szCs w:val="22"/>
        </w:rPr>
      </w:pPr>
      <w:r>
        <w:rPr>
          <w:b/>
          <w:sz w:val="22"/>
          <w:szCs w:val="22"/>
        </w:rPr>
        <w:t>Disclosure Statement:</w:t>
      </w:r>
    </w:p>
    <w:p w:rsidR="00B95720" w:rsidP="00B95720">
      <w:pPr>
        <w:ind w:left="450" w:right="288"/>
        <w:rPr>
          <w:sz w:val="22"/>
          <w:szCs w:val="22"/>
        </w:rPr>
      </w:pPr>
      <w:r>
        <w:rPr>
          <w:sz w:val="22"/>
          <w:szCs w:val="22"/>
        </w:rPr>
        <w:t xml:space="preserve">It </w:t>
      </w:r>
      <w:r w:rsidRPr="00EF70BB">
        <w:rPr>
          <w:sz w:val="22"/>
          <w:szCs w:val="22"/>
        </w:rPr>
        <w:t>is the policy of Wills Eye Hospital that the information presented at Wills Eye Hospital's CME activities will be commercially unbiased and based on scientific and clinical evidence. To help participants make judgments about the presence of commercial bias, Wills Eye Hospital provide</w:t>
      </w:r>
      <w:r>
        <w:rPr>
          <w:sz w:val="22"/>
          <w:szCs w:val="22"/>
        </w:rPr>
        <w:t>s</w:t>
      </w:r>
      <w:r w:rsidRPr="00EF70BB">
        <w:rPr>
          <w:sz w:val="22"/>
          <w:szCs w:val="22"/>
        </w:rPr>
        <w:t xml:space="preserve"> information that planners and speakers have disclosed about financial relationships they have with commercial entities that produce, market, re-sell</w:t>
      </w:r>
      <w:r>
        <w:rPr>
          <w:sz w:val="22"/>
          <w:szCs w:val="22"/>
        </w:rPr>
        <w:t>, or distribute</w:t>
      </w:r>
      <w:r w:rsidRPr="00EF70BB">
        <w:rPr>
          <w:sz w:val="22"/>
          <w:szCs w:val="22"/>
        </w:rPr>
        <w:t xml:space="preserve"> health care goods or services consumed by, or used on, patients. </w:t>
      </w:r>
      <w:r w:rsidR="00E7354D">
        <w:rPr>
          <w:sz w:val="22"/>
          <w:szCs w:val="22"/>
        </w:rPr>
        <w:t>All relevant financial relationships have been mitigated.</w:t>
      </w:r>
    </w:p>
    <w:p w:rsidR="00555DB6" w:rsidP="00B95720">
      <w:pPr>
        <w:ind w:left="450" w:right="288"/>
        <w:rPr>
          <w:sz w:val="22"/>
          <w:szCs w:val="22"/>
        </w:rPr>
      </w:pPr>
    </w:p>
    <w:p w:rsidR="00244E48" w:rsidP="00422C29">
      <w:pPr>
        <w:ind w:left="450" w:right="288" w:firstLine="270"/>
        <w:rPr>
          <w:b/>
          <w:szCs w:val="24"/>
          <w:u w:val="single"/>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24"/>
        <w:gridCol w:w="3024"/>
        <w:gridCol w:w="403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Jurij R. Bilyk,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Jackie R. Carrasco,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Bureau-Amgen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Jordan Deaner,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Fee-EyePoint Pharmaceuticals (Relationship has ended)|Consulting Fee-ANI (Relationship has ended)|Speakers Bureau-ANI|Consulting Fee-Genentech (Relationship has ended)|Consulting Fee-Bausch + Lomb (Relationship has ended)|Speakers Bureau-Bausch + Lomb|Consulting Fee-Regeneron (Relationship has ended) - 10/19/2025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Mak B Djulbegovic,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Ralph C. Eagle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Mitchell S. Fineman,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Rod Foroozan,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L. Guyton,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Nicholas Hadjokas,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research)-RxSight (Relationship has ended)|Consulting Fee-Glaukos Corporation - 12/12/2025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Hock,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Irsch,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Aditya Kanesa-thasan,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Klufas,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Fee-REGENXBIO, Inc.|Consulting Fee-Genentech|Consulting Fee-Regeneron|Honoraria-Coherus (Relationship has ended)|Honoraria-Biogen (Relationship has ended)|Consulting Fee-Abbvie|Grant or research support-Bausch + Lomb|Consulting Fee-Zeiss|Consulting Fee-Alimera Sciences|Stocks or stock options, excluding diversified mutual funds-Horizon Surgical Systems|Consulting Fee-4DMT|Consulting Fee-Bayer (Relationship has ended)|Honoraria-Regeneron - 12/28/2025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Lee,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Jonathan S. Myers,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funds-Avisi|Grant or research support-Avisi|Stocks or stock options, excluding diversified mutual funds-Microt|Stocks or stock options, excluding diversified mutual funds-Olleyes|Grant or research support-AbbVie (Relationship has ended)|Grant or research support-Glaukos Corporation|Grant or research support-Nicox (Relationship has ended)|Grant or research support-Santen Pharmaceuticals (Relationship has ended)|Grant or research support-Guardian (Relationship has ended)|Grant or research support-Laboratories Thea Inc|Grant or research support-Ocular Therapeutix (Relationship has ended)|Grant or research support-Elios (Relationship has ended)|Grant or research support-PLU Ophthalmic (Relationship has ended)|Consulting Fee-Thea Labs|Honoraria-Glaukos Corporation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Nathalie Perez,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M. Schnall,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Hermann D. Schubert,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 L. Shields,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Barry N. Wasserman,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Turner D Wibbelsman,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bl>
    <w:p w:rsidR="00B95720" w:rsidRPr="002C184B">
      <w:pPr>
        <w:bidi w:val="0"/>
        <w:spacing w:after="280" w:afterAutospacing="1"/>
        <w:rPr>
          <w:b/>
          <w:szCs w:val="24"/>
          <w:u w:val="single"/>
        </w:rPr>
      </w:pPr>
    </w:p>
    <w:p w:rsidR="00B46632" w:rsidP="00EF70BB">
      <w:pPr>
        <w:ind w:left="450" w:right="-36"/>
        <w:rPr>
          <w:sz w:val="22"/>
          <w:szCs w:val="22"/>
        </w:rPr>
      </w:pPr>
    </w:p>
    <w:p w:rsidR="00244E48" w:rsidP="00EF70BB">
      <w:pPr>
        <w:ind w:left="450" w:right="-36"/>
        <w:rPr>
          <w:sz w:val="22"/>
          <w:szCs w:val="22"/>
        </w:rPr>
        <w:sectPr w:rsidSect="00F3738C">
          <w:type w:val="continuous"/>
          <w:pgSz w:w="12240" w:h="15840"/>
          <w:pgMar w:top="720" w:right="1044" w:bottom="864" w:left="102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B95720" w:rsidRPr="00EF70BB" w:rsidP="00EF70BB">
      <w:pPr>
        <w:ind w:left="450" w:right="-36"/>
        <w:rPr>
          <w:sz w:val="22"/>
          <w:szCs w:val="22"/>
        </w:rPr>
      </w:pPr>
      <w:r>
        <w:rPr>
          <w:noProof/>
        </w:rPr>
        <w:drawing>
          <wp:anchor distT="0" distB="0" distL="114300" distR="114300" simplePos="0" relativeHeight="251658240" behindDoc="0" locked="0" layoutInCell="1" allowOverlap="1">
            <wp:simplePos x="0" y="0"/>
            <wp:positionH relativeFrom="page">
              <wp:posOffset>3571875</wp:posOffset>
            </wp:positionH>
            <wp:positionV relativeFrom="page">
              <wp:posOffset>8915400</wp:posOffset>
            </wp:positionV>
            <wp:extent cx="630936" cy="630936"/>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anchor>
        </w:drawing>
      </w:r>
    </w:p>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D20E12"/>
    <w:multiLevelType w:val="hybridMultilevel"/>
    <w:tmpl w:val="4A1EF7F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46393893"/>
    <w:multiLevelType w:val="hybridMultilevel"/>
    <w:tmpl w:val="1E0289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E6D4C99"/>
    <w:multiLevelType w:val="hybridMultilevel"/>
    <w:tmpl w:val="9A54FFFA"/>
    <w:lvl w:ilvl="0">
      <w:start w:val="0"/>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5E0787"/>
    <w:multiLevelType w:val="hybridMultilevel"/>
    <w:tmpl w:val="CCF468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FA143B-070F-48B4-9976-1DE4E7EB1B65}"/>
    <w:docVar w:name="dgnword-eventsink" w:val="281770857643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89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216F"/>
    <w:pPr>
      <w:keepNext/>
      <w:outlineLvl w:val="0"/>
    </w:pPr>
    <w:rPr>
      <w:b/>
      <w:bCs/>
      <w:szCs w:val="24"/>
    </w:rPr>
  </w:style>
  <w:style w:type="paragraph" w:styleId="Heading2">
    <w:name w:val="heading 2"/>
    <w:basedOn w:val="Normal"/>
    <w:next w:val="Normal"/>
    <w:link w:val="Heading2Char"/>
    <w:qFormat/>
    <w:rsid w:val="007A216F"/>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893"/>
    <w:rPr>
      <w:color w:val="0000FF"/>
      <w:u w:val="single"/>
    </w:rPr>
  </w:style>
  <w:style w:type="character" w:customStyle="1" w:styleId="Heading1Char">
    <w:name w:val="Heading 1 Char"/>
    <w:basedOn w:val="DefaultParagraphFont"/>
    <w:link w:val="Heading1"/>
    <w:rsid w:val="007A216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A216F"/>
    <w:rPr>
      <w:rFonts w:ascii="Times New Roman" w:eastAsia="Times New Roman" w:hAnsi="Times New Roman" w:cs="Times New Roman"/>
      <w:b/>
      <w:bCs/>
      <w:sz w:val="24"/>
      <w:szCs w:val="24"/>
    </w:rPr>
  </w:style>
  <w:style w:type="paragraph" w:styleId="ListParagraph">
    <w:name w:val="List Paragraph"/>
    <w:basedOn w:val="Normal"/>
    <w:uiPriority w:val="34"/>
    <w:qFormat/>
    <w:rsid w:val="00E57967"/>
    <w:pPr>
      <w:ind w:left="720"/>
      <w:contextualSpacing/>
    </w:pPr>
  </w:style>
  <w:style w:type="paragraph" w:styleId="BalloonText">
    <w:name w:val="Balloon Text"/>
    <w:basedOn w:val="Normal"/>
    <w:link w:val="BalloonTextChar"/>
    <w:uiPriority w:val="99"/>
    <w:semiHidden/>
    <w:unhideWhenUsed/>
    <w:rsid w:val="00B46632"/>
    <w:rPr>
      <w:rFonts w:ascii="Tahoma" w:hAnsi="Tahoma" w:cs="Tahoma"/>
      <w:sz w:val="16"/>
      <w:szCs w:val="16"/>
    </w:rPr>
  </w:style>
  <w:style w:type="character" w:customStyle="1" w:styleId="BalloonTextChar">
    <w:name w:val="Balloon Text Char"/>
    <w:basedOn w:val="DefaultParagraphFont"/>
    <w:link w:val="BalloonText"/>
    <w:uiPriority w:val="99"/>
    <w:semiHidden/>
    <w:rsid w:val="00B46632"/>
    <w:rPr>
      <w:rFonts w:ascii="Tahoma" w:eastAsia="Times New Roman" w:hAnsi="Tahoma" w:cs="Tahoma"/>
      <w:sz w:val="16"/>
      <w:szCs w:val="16"/>
    </w:rPr>
  </w:style>
  <w:style w:type="paragraph" w:styleId="Header">
    <w:name w:val="header"/>
    <w:basedOn w:val="Normal"/>
    <w:link w:val="HeaderChar"/>
    <w:uiPriority w:val="99"/>
    <w:unhideWhenUsed/>
    <w:rsid w:val="007C36D5"/>
    <w:pPr>
      <w:tabs>
        <w:tab w:val="center" w:pos="4680"/>
        <w:tab w:val="right" w:pos="9360"/>
      </w:tabs>
    </w:pPr>
  </w:style>
  <w:style w:type="character" w:customStyle="1" w:styleId="HeaderChar">
    <w:name w:val="Header Char"/>
    <w:basedOn w:val="DefaultParagraphFont"/>
    <w:link w:val="Header"/>
    <w:uiPriority w:val="99"/>
    <w:rsid w:val="007C36D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C36D5"/>
    <w:pPr>
      <w:tabs>
        <w:tab w:val="center" w:pos="4680"/>
        <w:tab w:val="right" w:pos="9360"/>
      </w:tabs>
    </w:pPr>
  </w:style>
  <w:style w:type="character" w:customStyle="1" w:styleId="FooterChar">
    <w:name w:val="Footer Char"/>
    <w:basedOn w:val="DefaultParagraphFont"/>
    <w:link w:val="Footer"/>
    <w:uiPriority w:val="99"/>
    <w:rsid w:val="007C36D5"/>
    <w:rPr>
      <w:rFonts w:ascii="Times New Roman" w:eastAsia="Times New Roman" w:hAnsi="Times New Roman" w:cs="Times New Roman"/>
      <w:sz w:val="24"/>
      <w:szCs w:val="20"/>
    </w:rPr>
  </w:style>
  <w:style w:type="paragraph" w:styleId="NoSpacing">
    <w:name w:val="No Spacing"/>
    <w:uiPriority w:val="1"/>
    <w:qFormat/>
    <w:rsid w:val="00666F7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6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D1086-7A83-4BEE-8755-A975D081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Manes</dc:creator>
  <cp:lastModifiedBy>Shaunna Lee</cp:lastModifiedBy>
  <cp:revision>4</cp:revision>
  <cp:lastPrinted>2015-01-15T13:54:00Z</cp:lastPrinted>
  <dcterms:created xsi:type="dcterms:W3CDTF">2025-01-02T16:25:00Z</dcterms:created>
  <dcterms:modified xsi:type="dcterms:W3CDTF">2025-07-30T16:54:00Z</dcterms:modified>
</cp:coreProperties>
</file>